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4"/>
        <w:gridCol w:w="5443"/>
        <w:gridCol w:w="1814"/>
      </w:tblGrid>
      <w:tr w:rsidR="00CA309E" w:rsidRPr="00AA7B00" w:rsidTr="00CA309E">
        <w:tc>
          <w:tcPr>
            <w:tcW w:w="5000" w:type="pct"/>
            <w:gridSpan w:val="3"/>
            <w:vAlign w:val="center"/>
            <w:hideMark/>
          </w:tcPr>
          <w:p w:rsidR="00CA309E" w:rsidRPr="00AA7B00" w:rsidRDefault="00CA309E" w:rsidP="00AA7B00">
            <w:pPr>
              <w:jc w:val="center"/>
              <w:rPr>
                <w:color w:val="0000FF"/>
                <w:sz w:val="28"/>
                <w:szCs w:val="28"/>
                <w:lang w:val="ro-MD"/>
              </w:rPr>
            </w:pPr>
            <w:r w:rsidRPr="00AA7B00">
              <w:rPr>
                <w:noProof/>
                <w:color w:val="0000FF"/>
                <w:sz w:val="28"/>
                <w:szCs w:val="28"/>
              </w:rPr>
              <w:drawing>
                <wp:inline distT="0" distB="0" distL="0" distR="0" wp14:anchorId="428711BB" wp14:editId="52BFFF96">
                  <wp:extent cx="581025" cy="733425"/>
                  <wp:effectExtent l="0" t="0" r="9525" b="9525"/>
                  <wp:docPr id="3" name="Picture 3" descr="Coat_of_arms_of_Moldov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oat_of_arms_of_Moldova.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r>
      <w:tr w:rsidR="00CA309E" w:rsidRPr="00AA7B00" w:rsidTr="00CA309E">
        <w:trPr>
          <w:trHeight w:val="102"/>
        </w:trPr>
        <w:tc>
          <w:tcPr>
            <w:tcW w:w="1000" w:type="pct"/>
            <w:vMerge w:val="restart"/>
            <w:vAlign w:val="center"/>
            <w:hideMark/>
          </w:tcPr>
          <w:p w:rsidR="00CA309E" w:rsidRPr="00AA7B00" w:rsidRDefault="00AD78CD" w:rsidP="00AA7B00">
            <w:pPr>
              <w:ind w:right="140"/>
              <w:rPr>
                <w:color w:val="0000FF"/>
                <w:sz w:val="28"/>
                <w:szCs w:val="28"/>
                <w:lang w:val="ro-MD"/>
              </w:rPr>
            </w:pPr>
            <w:r w:rsidRPr="00AA7B00">
              <w:rPr>
                <w:noProof/>
                <w:color w:val="0000FF"/>
                <w:sz w:val="28"/>
                <w:szCs w:val="28"/>
              </w:rPr>
              <w:drawing>
                <wp:inline distT="0" distB="0" distL="0" distR="0" wp14:anchorId="70EB310A" wp14:editId="09C53503">
                  <wp:extent cx="828510" cy="4654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54" cy="498738"/>
                          </a:xfrm>
                          <a:prstGeom prst="rect">
                            <a:avLst/>
                          </a:prstGeom>
                          <a:noFill/>
                          <a:ln>
                            <a:noFill/>
                          </a:ln>
                        </pic:spPr>
                      </pic:pic>
                    </a:graphicData>
                  </a:graphic>
                </wp:inline>
              </w:drawing>
            </w:r>
          </w:p>
        </w:tc>
        <w:tc>
          <w:tcPr>
            <w:tcW w:w="3000" w:type="pct"/>
            <w:vAlign w:val="center"/>
          </w:tcPr>
          <w:p w:rsidR="00CA309E" w:rsidRPr="00AA7B00" w:rsidRDefault="00CA309E" w:rsidP="00AA7B00">
            <w:pPr>
              <w:jc w:val="center"/>
              <w:rPr>
                <w:color w:val="0000FF"/>
                <w:sz w:val="28"/>
                <w:szCs w:val="28"/>
                <w:lang w:val="ro-MD"/>
              </w:rPr>
            </w:pPr>
          </w:p>
        </w:tc>
        <w:tc>
          <w:tcPr>
            <w:tcW w:w="1000" w:type="pct"/>
            <w:vAlign w:val="center"/>
          </w:tcPr>
          <w:p w:rsidR="00CA309E" w:rsidRPr="00AA7B00" w:rsidRDefault="00CA309E" w:rsidP="00AA7B00">
            <w:pPr>
              <w:jc w:val="center"/>
              <w:rPr>
                <w:color w:val="0000FF"/>
                <w:sz w:val="28"/>
                <w:szCs w:val="28"/>
                <w:lang w:val="ro-MD"/>
              </w:rPr>
            </w:pPr>
          </w:p>
        </w:tc>
      </w:tr>
      <w:tr w:rsidR="00CA309E" w:rsidRPr="00AA7B00" w:rsidTr="00CA309E">
        <w:trPr>
          <w:trHeight w:val="97"/>
        </w:trPr>
        <w:tc>
          <w:tcPr>
            <w:tcW w:w="0" w:type="auto"/>
            <w:vMerge/>
            <w:vAlign w:val="center"/>
            <w:hideMark/>
          </w:tcPr>
          <w:p w:rsidR="00CA309E" w:rsidRPr="00AA7B00" w:rsidRDefault="00CA309E" w:rsidP="00AA7B00">
            <w:pPr>
              <w:rPr>
                <w:color w:val="0000FF"/>
                <w:sz w:val="28"/>
                <w:szCs w:val="28"/>
                <w:lang w:val="ro-MD" w:eastAsia="ru-RU"/>
              </w:rPr>
            </w:pPr>
          </w:p>
        </w:tc>
        <w:tc>
          <w:tcPr>
            <w:tcW w:w="3000" w:type="pct"/>
            <w:hideMark/>
          </w:tcPr>
          <w:p w:rsidR="00CA309E" w:rsidRPr="00AA7B00" w:rsidRDefault="00CA309E" w:rsidP="00AA7B00">
            <w:pPr>
              <w:jc w:val="center"/>
              <w:rPr>
                <w:color w:val="0000FF"/>
                <w:sz w:val="28"/>
                <w:szCs w:val="28"/>
                <w:lang w:val="ro-MD"/>
              </w:rPr>
            </w:pPr>
            <w:r w:rsidRPr="00AA7B00">
              <w:rPr>
                <w:b/>
                <w:sz w:val="28"/>
                <w:szCs w:val="28"/>
                <w:lang w:val="ro-MD"/>
              </w:rPr>
              <w:t>REPUBLICA MOLDOVA</w:t>
            </w:r>
          </w:p>
        </w:tc>
        <w:tc>
          <w:tcPr>
            <w:tcW w:w="1000" w:type="pct"/>
            <w:vAlign w:val="center"/>
          </w:tcPr>
          <w:p w:rsidR="00CA309E" w:rsidRPr="00AA7B00" w:rsidRDefault="00CA309E" w:rsidP="00AA7B00">
            <w:pPr>
              <w:jc w:val="center"/>
              <w:rPr>
                <w:color w:val="0000FF"/>
                <w:sz w:val="28"/>
                <w:szCs w:val="28"/>
                <w:lang w:val="ro-MD"/>
              </w:rPr>
            </w:pPr>
          </w:p>
        </w:tc>
      </w:tr>
      <w:tr w:rsidR="00CA309E" w:rsidRPr="00AA7B00" w:rsidTr="00CA309E">
        <w:trPr>
          <w:trHeight w:val="186"/>
        </w:trPr>
        <w:tc>
          <w:tcPr>
            <w:tcW w:w="0" w:type="auto"/>
            <w:vMerge/>
            <w:vAlign w:val="center"/>
            <w:hideMark/>
          </w:tcPr>
          <w:p w:rsidR="00CA309E" w:rsidRPr="00AA7B00" w:rsidRDefault="00CA309E" w:rsidP="00AA7B00">
            <w:pPr>
              <w:rPr>
                <w:color w:val="0000FF"/>
                <w:sz w:val="28"/>
                <w:szCs w:val="28"/>
                <w:lang w:val="ro-MD" w:eastAsia="ru-RU"/>
              </w:rPr>
            </w:pPr>
          </w:p>
        </w:tc>
        <w:tc>
          <w:tcPr>
            <w:tcW w:w="3000" w:type="pct"/>
            <w:vAlign w:val="center"/>
            <w:hideMark/>
          </w:tcPr>
          <w:p w:rsidR="00CA309E" w:rsidRPr="00AA7B00" w:rsidRDefault="00CA309E" w:rsidP="00AA7B00">
            <w:pPr>
              <w:jc w:val="center"/>
              <w:rPr>
                <w:b/>
                <w:color w:val="0000FF"/>
                <w:sz w:val="28"/>
                <w:szCs w:val="28"/>
                <w:lang w:val="ro-MD"/>
              </w:rPr>
            </w:pPr>
            <w:r w:rsidRPr="00AA7B00">
              <w:rPr>
                <w:b/>
                <w:color w:val="324781"/>
                <w:sz w:val="28"/>
                <w:szCs w:val="28"/>
                <w:lang w:val="ro-MD"/>
              </w:rPr>
              <w:t>COMISIA NAȚIONALĂ a PIEȚEI FINANCIARE</w:t>
            </w:r>
          </w:p>
        </w:tc>
        <w:tc>
          <w:tcPr>
            <w:tcW w:w="1000" w:type="pct"/>
            <w:vAlign w:val="center"/>
          </w:tcPr>
          <w:p w:rsidR="00CA309E" w:rsidRPr="00AA7B00" w:rsidRDefault="00CA309E" w:rsidP="00AA7B00">
            <w:pPr>
              <w:jc w:val="center"/>
              <w:rPr>
                <w:color w:val="0000FF"/>
                <w:sz w:val="28"/>
                <w:szCs w:val="28"/>
                <w:lang w:val="ro-MD"/>
              </w:rPr>
            </w:pPr>
          </w:p>
        </w:tc>
      </w:tr>
    </w:tbl>
    <w:p w:rsidR="00D36981" w:rsidRPr="00AA7B00" w:rsidRDefault="00D36981" w:rsidP="00AA7B00">
      <w:pPr>
        <w:spacing w:after="0" w:line="240" w:lineRule="auto"/>
        <w:ind w:firstLine="567"/>
        <w:jc w:val="both"/>
        <w:rPr>
          <w:rFonts w:ascii="Times New Roman" w:eastAsia="Times New Roman" w:hAnsi="Times New Roman" w:cs="Times New Roman"/>
          <w:sz w:val="28"/>
          <w:szCs w:val="28"/>
          <w:lang w:val="ro-MD"/>
        </w:rPr>
      </w:pPr>
    </w:p>
    <w:p w:rsidR="00AC6BB2" w:rsidRPr="00AA7B00" w:rsidRDefault="00CA309E" w:rsidP="00AA7B00">
      <w:pPr>
        <w:spacing w:after="0" w:line="240" w:lineRule="auto"/>
        <w:ind w:firstLine="567"/>
        <w:jc w:val="right"/>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Proiect</w:t>
      </w:r>
    </w:p>
    <w:p w:rsidR="00542DDE" w:rsidRPr="00AA7B00" w:rsidRDefault="00542DDE" w:rsidP="00AA7B00">
      <w:pPr>
        <w:spacing w:after="0" w:line="240" w:lineRule="auto"/>
        <w:ind w:firstLine="567"/>
        <w:jc w:val="right"/>
        <w:rPr>
          <w:rFonts w:ascii="Times New Roman" w:eastAsia="Times New Roman" w:hAnsi="Times New Roman" w:cs="Times New Roman"/>
          <w:sz w:val="32"/>
          <w:szCs w:val="28"/>
          <w:lang w:val="ro-MD"/>
        </w:rPr>
      </w:pPr>
    </w:p>
    <w:p w:rsidR="00CA309E" w:rsidRPr="00AA7B00" w:rsidRDefault="00CA309E" w:rsidP="00AA7B00">
      <w:pPr>
        <w:spacing w:after="0" w:line="240" w:lineRule="auto"/>
        <w:jc w:val="center"/>
        <w:outlineLvl w:val="0"/>
        <w:rPr>
          <w:rFonts w:ascii="Times New Roman" w:hAnsi="Times New Roman" w:cs="Times New Roman"/>
          <w:b/>
          <w:sz w:val="32"/>
          <w:szCs w:val="28"/>
          <w:lang w:val="ro-MD"/>
        </w:rPr>
      </w:pPr>
      <w:r w:rsidRPr="00AA7B00">
        <w:rPr>
          <w:rFonts w:ascii="Times New Roman" w:hAnsi="Times New Roman" w:cs="Times New Roman"/>
          <w:b/>
          <w:sz w:val="32"/>
          <w:szCs w:val="28"/>
          <w:lang w:val="ro-MD"/>
        </w:rPr>
        <w:t>HOTĂRÂRE</w:t>
      </w:r>
    </w:p>
    <w:p w:rsidR="00542DDE" w:rsidRPr="00AA7B00" w:rsidRDefault="00542DDE" w:rsidP="00AA7B00">
      <w:pPr>
        <w:spacing w:after="0" w:line="240" w:lineRule="auto"/>
        <w:jc w:val="center"/>
        <w:outlineLvl w:val="0"/>
        <w:rPr>
          <w:rFonts w:ascii="Times New Roman" w:hAnsi="Times New Roman" w:cs="Times New Roman"/>
          <w:b/>
          <w:sz w:val="16"/>
          <w:szCs w:val="16"/>
          <w:lang w:val="ro-MD"/>
        </w:rPr>
      </w:pPr>
    </w:p>
    <w:p w:rsidR="00CA309E" w:rsidRPr="00AA7B00" w:rsidRDefault="00CA309E" w:rsidP="00AA7B00">
      <w:pPr>
        <w:spacing w:after="0" w:line="240" w:lineRule="auto"/>
        <w:jc w:val="both"/>
        <w:rPr>
          <w:rFonts w:eastAsia="Calibri"/>
          <w:b/>
          <w:sz w:val="28"/>
          <w:szCs w:val="28"/>
          <w:lang w:val="ro-MD"/>
        </w:rPr>
      </w:pPr>
      <w:r w:rsidRPr="00AA7B00">
        <w:rPr>
          <w:rFonts w:ascii="Times New Roman" w:eastAsia="Calibri" w:hAnsi="Times New Roman" w:cs="Times New Roman"/>
          <w:b/>
          <w:sz w:val="28"/>
          <w:szCs w:val="28"/>
          <w:lang w:val="ro-MD"/>
        </w:rPr>
        <w:t>__________ 2025                                                                                  Nr. ______</w:t>
      </w:r>
    </w:p>
    <w:p w:rsidR="00CA309E" w:rsidRPr="00AA7B00" w:rsidRDefault="00CA309E" w:rsidP="00AA7B00">
      <w:pPr>
        <w:spacing w:after="0" w:line="240" w:lineRule="auto"/>
        <w:jc w:val="both"/>
        <w:outlineLvl w:val="0"/>
        <w:rPr>
          <w:rFonts w:eastAsia="Times New Roman"/>
          <w:i/>
          <w:sz w:val="16"/>
          <w:szCs w:val="16"/>
          <w:lang w:val="ro-MD" w:eastAsia="ru-RU"/>
        </w:rPr>
      </w:pPr>
    </w:p>
    <w:p w:rsidR="00CA309E" w:rsidRPr="00AA7B00" w:rsidRDefault="00CA309E" w:rsidP="00AA7B00">
      <w:pPr>
        <w:spacing w:after="0" w:line="240" w:lineRule="auto"/>
        <w:rPr>
          <w:rFonts w:ascii="Times New Roman" w:eastAsia="Times New Roman" w:hAnsi="Times New Roman" w:cs="Times New Roman"/>
          <w:bCs/>
          <w:i/>
          <w:sz w:val="28"/>
          <w:szCs w:val="28"/>
          <w:lang w:val="ro-MD"/>
        </w:rPr>
      </w:pPr>
      <w:r w:rsidRPr="00AA7B00">
        <w:rPr>
          <w:rFonts w:ascii="Times New Roman" w:eastAsia="Times New Roman" w:hAnsi="Times New Roman" w:cs="Times New Roman"/>
          <w:bCs/>
          <w:i/>
          <w:sz w:val="28"/>
          <w:szCs w:val="28"/>
          <w:lang w:val="ro-MD"/>
        </w:rPr>
        <w:t>C</w:t>
      </w:r>
      <w:r w:rsidR="00AC6BB2" w:rsidRPr="00AA7B00">
        <w:rPr>
          <w:rFonts w:ascii="Times New Roman" w:eastAsia="Times New Roman" w:hAnsi="Times New Roman" w:cs="Times New Roman"/>
          <w:bCs/>
          <w:i/>
          <w:sz w:val="28"/>
          <w:szCs w:val="28"/>
          <w:lang w:val="ro-MD"/>
        </w:rPr>
        <w:t xml:space="preserve">u privire la aprobarea </w:t>
      </w:r>
      <w:r w:rsidR="00F6208C" w:rsidRPr="00AA7B00">
        <w:rPr>
          <w:rFonts w:ascii="Times New Roman" w:eastAsia="Times New Roman" w:hAnsi="Times New Roman" w:cs="Times New Roman"/>
          <w:bCs/>
          <w:i/>
          <w:sz w:val="28"/>
          <w:szCs w:val="28"/>
          <w:lang w:val="ro-MD"/>
        </w:rPr>
        <w:t>cuantumului maxim al taxelor</w:t>
      </w:r>
      <w:r w:rsidR="00AC6BB2" w:rsidRPr="00AA7B00">
        <w:rPr>
          <w:rFonts w:ascii="Times New Roman" w:eastAsia="Times New Roman" w:hAnsi="Times New Roman" w:cs="Times New Roman"/>
          <w:bCs/>
          <w:i/>
          <w:sz w:val="28"/>
          <w:szCs w:val="28"/>
          <w:lang w:val="ro-MD"/>
        </w:rPr>
        <w:t xml:space="preserve"> </w:t>
      </w:r>
    </w:p>
    <w:p w:rsidR="00734289" w:rsidRPr="00AA7B00" w:rsidRDefault="00F6208C" w:rsidP="00AA7B00">
      <w:pPr>
        <w:spacing w:after="0" w:line="240" w:lineRule="auto"/>
        <w:rPr>
          <w:rFonts w:ascii="Times New Roman" w:eastAsia="Times New Roman" w:hAnsi="Times New Roman" w:cs="Times New Roman"/>
          <w:bCs/>
          <w:i/>
          <w:sz w:val="28"/>
          <w:szCs w:val="28"/>
          <w:lang w:val="ro-MD"/>
        </w:rPr>
      </w:pPr>
      <w:r w:rsidRPr="00AA7B00">
        <w:rPr>
          <w:rFonts w:ascii="Times New Roman" w:eastAsia="Times New Roman" w:hAnsi="Times New Roman" w:cs="Times New Roman"/>
          <w:bCs/>
          <w:i/>
          <w:sz w:val="28"/>
          <w:szCs w:val="28"/>
          <w:lang w:val="ro-MD"/>
        </w:rPr>
        <w:t xml:space="preserve">pentru </w:t>
      </w:r>
      <w:r w:rsidR="00AC6BB2" w:rsidRPr="00AA7B00">
        <w:rPr>
          <w:rFonts w:ascii="Times New Roman" w:eastAsia="Times New Roman" w:hAnsi="Times New Roman" w:cs="Times New Roman"/>
          <w:bCs/>
          <w:i/>
          <w:sz w:val="28"/>
          <w:szCs w:val="28"/>
          <w:lang w:val="ro-MD"/>
        </w:rPr>
        <w:t>serviciil</w:t>
      </w:r>
      <w:r w:rsidRPr="00AA7B00">
        <w:rPr>
          <w:rFonts w:ascii="Times New Roman" w:eastAsia="Times New Roman" w:hAnsi="Times New Roman" w:cs="Times New Roman"/>
          <w:bCs/>
          <w:i/>
          <w:sz w:val="28"/>
          <w:szCs w:val="28"/>
          <w:lang w:val="ro-MD"/>
        </w:rPr>
        <w:t>e</w:t>
      </w:r>
      <w:r w:rsidR="00AC6BB2" w:rsidRPr="00AA7B00">
        <w:rPr>
          <w:rFonts w:ascii="Times New Roman" w:eastAsia="Times New Roman" w:hAnsi="Times New Roman" w:cs="Times New Roman"/>
          <w:bCs/>
          <w:i/>
          <w:sz w:val="28"/>
          <w:szCs w:val="28"/>
          <w:lang w:val="ro-MD"/>
        </w:rPr>
        <w:t xml:space="preserve"> prestate</w:t>
      </w:r>
      <w:r w:rsidR="00CA309E" w:rsidRPr="00AA7B00">
        <w:rPr>
          <w:rFonts w:ascii="Times New Roman" w:eastAsia="Times New Roman" w:hAnsi="Times New Roman" w:cs="Times New Roman"/>
          <w:bCs/>
          <w:i/>
          <w:sz w:val="28"/>
          <w:szCs w:val="28"/>
          <w:lang w:val="ro-MD"/>
        </w:rPr>
        <w:t xml:space="preserve"> </w:t>
      </w:r>
      <w:r w:rsidR="00AC6BB2" w:rsidRPr="00AA7B00">
        <w:rPr>
          <w:rFonts w:ascii="Times New Roman" w:eastAsia="Times New Roman" w:hAnsi="Times New Roman" w:cs="Times New Roman"/>
          <w:bCs/>
          <w:i/>
          <w:sz w:val="28"/>
          <w:szCs w:val="28"/>
          <w:lang w:val="ro-MD"/>
        </w:rPr>
        <w:t>de către societate</w:t>
      </w:r>
      <w:r w:rsidR="00A17E6E" w:rsidRPr="00AA7B00">
        <w:rPr>
          <w:rFonts w:ascii="Times New Roman" w:eastAsia="Times New Roman" w:hAnsi="Times New Roman" w:cs="Times New Roman"/>
          <w:bCs/>
          <w:i/>
          <w:sz w:val="28"/>
          <w:szCs w:val="28"/>
          <w:lang w:val="ro-MD"/>
        </w:rPr>
        <w:t>a</w:t>
      </w:r>
      <w:r w:rsidR="00AC6BB2" w:rsidRPr="00AA7B00">
        <w:rPr>
          <w:rFonts w:ascii="Times New Roman" w:eastAsia="Times New Roman" w:hAnsi="Times New Roman" w:cs="Times New Roman"/>
          <w:bCs/>
          <w:i/>
          <w:sz w:val="28"/>
          <w:szCs w:val="28"/>
          <w:lang w:val="ro-MD"/>
        </w:rPr>
        <w:t xml:space="preserve"> de registru</w:t>
      </w:r>
      <w:r w:rsidR="00526974" w:rsidRPr="00AA7B00">
        <w:rPr>
          <w:rFonts w:ascii="Times New Roman" w:eastAsia="Times New Roman" w:hAnsi="Times New Roman" w:cs="Times New Roman"/>
          <w:bCs/>
          <w:i/>
          <w:sz w:val="28"/>
          <w:szCs w:val="28"/>
          <w:lang w:val="ro-MD"/>
        </w:rPr>
        <w:t xml:space="preserve"> </w:t>
      </w:r>
      <w:r w:rsidR="00734289" w:rsidRPr="00AA7B00">
        <w:rPr>
          <w:rFonts w:ascii="Times New Roman" w:eastAsia="Times New Roman" w:hAnsi="Times New Roman" w:cs="Times New Roman"/>
          <w:bCs/>
          <w:i/>
          <w:sz w:val="28"/>
          <w:szCs w:val="28"/>
          <w:lang w:val="ro-MD"/>
        </w:rPr>
        <w:t xml:space="preserve"> </w:t>
      </w:r>
    </w:p>
    <w:p w:rsidR="00AC6BB2" w:rsidRPr="00AA7B00" w:rsidRDefault="00AC6BB2" w:rsidP="00AA7B00">
      <w:pPr>
        <w:spacing w:after="0" w:line="240" w:lineRule="auto"/>
        <w:jc w:val="center"/>
        <w:rPr>
          <w:rFonts w:ascii="Times New Roman" w:eastAsia="Times New Roman" w:hAnsi="Times New Roman" w:cs="Times New Roman"/>
          <w:b/>
          <w:bCs/>
          <w:sz w:val="28"/>
          <w:szCs w:val="28"/>
          <w:lang w:val="ro-MD"/>
        </w:rPr>
      </w:pPr>
    </w:p>
    <w:p w:rsidR="00AC6BB2" w:rsidRPr="00AA7B00" w:rsidRDefault="009831D3"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În temeiul art.</w:t>
      </w:r>
      <w:r w:rsidR="00D20F41" w:rsidRPr="00AA7B00">
        <w:rPr>
          <w:rFonts w:ascii="Times New Roman" w:eastAsia="Times New Roman" w:hAnsi="Times New Roman" w:cs="Times New Roman"/>
          <w:sz w:val="28"/>
          <w:szCs w:val="28"/>
          <w:lang w:val="ro-MD"/>
        </w:rPr>
        <w:t xml:space="preserve"> </w:t>
      </w:r>
      <w:r w:rsidR="008C7B01" w:rsidRPr="00AA7B00">
        <w:rPr>
          <w:rFonts w:ascii="Times New Roman" w:eastAsia="Times New Roman" w:hAnsi="Times New Roman" w:cs="Times New Roman"/>
          <w:sz w:val="28"/>
          <w:szCs w:val="28"/>
          <w:lang w:val="ro-MD"/>
        </w:rPr>
        <w:t>10</w:t>
      </w:r>
      <w:r w:rsidRPr="00AA7B00">
        <w:rPr>
          <w:rFonts w:ascii="Times New Roman" w:eastAsia="Times New Roman" w:hAnsi="Times New Roman" w:cs="Times New Roman"/>
          <w:sz w:val="28"/>
          <w:szCs w:val="28"/>
          <w:vertAlign w:val="superscript"/>
          <w:lang w:val="ro-MD"/>
        </w:rPr>
        <w:t xml:space="preserve">1 </w:t>
      </w:r>
      <w:r w:rsidRPr="00AA7B00">
        <w:rPr>
          <w:rFonts w:ascii="Times New Roman" w:eastAsia="Times New Roman" w:hAnsi="Times New Roman" w:cs="Times New Roman"/>
          <w:sz w:val="28"/>
          <w:szCs w:val="28"/>
          <w:lang w:val="ro-MD"/>
        </w:rPr>
        <w:t>alin.</w:t>
      </w:r>
      <w:r w:rsidR="00D20F41" w:rsidRPr="00AA7B00">
        <w:rPr>
          <w:rFonts w:ascii="Times New Roman" w:eastAsia="Times New Roman" w:hAnsi="Times New Roman" w:cs="Times New Roman"/>
          <w:sz w:val="28"/>
          <w:szCs w:val="28"/>
          <w:lang w:val="ro-MD"/>
        </w:rPr>
        <w:t xml:space="preserve"> </w:t>
      </w:r>
      <w:r w:rsidRPr="00AA7B00">
        <w:rPr>
          <w:rFonts w:ascii="Times New Roman" w:eastAsia="Times New Roman" w:hAnsi="Times New Roman" w:cs="Times New Roman"/>
          <w:sz w:val="28"/>
          <w:szCs w:val="28"/>
          <w:lang w:val="ro-MD"/>
        </w:rPr>
        <w:t>(4) din Legea nr. 171/2012 privind piața de capital (Monitorul Oficial al Republicii Moldova, 2012, nr. 193</w:t>
      </w:r>
      <w:r w:rsidR="008C7B01" w:rsidRPr="00AA7B00">
        <w:rPr>
          <w:rFonts w:ascii="Times New Roman" w:eastAsia="Times New Roman" w:hAnsi="Times New Roman" w:cs="Times New Roman"/>
          <w:sz w:val="28"/>
          <w:szCs w:val="28"/>
          <w:lang w:val="ro-MD"/>
        </w:rPr>
        <w:t xml:space="preserve"> – </w:t>
      </w:r>
      <w:r w:rsidRPr="00AA7B00">
        <w:rPr>
          <w:rFonts w:ascii="Times New Roman" w:eastAsia="Times New Roman" w:hAnsi="Times New Roman" w:cs="Times New Roman"/>
          <w:sz w:val="28"/>
          <w:szCs w:val="28"/>
          <w:lang w:val="ro-MD"/>
        </w:rPr>
        <w:t>197, art. 665), pct. 7 s</w:t>
      </w:r>
      <w:r w:rsidR="00C12743" w:rsidRPr="00AA7B00">
        <w:rPr>
          <w:rFonts w:ascii="Times New Roman" w:eastAsia="Times New Roman" w:hAnsi="Times New Roman" w:cs="Times New Roman"/>
          <w:sz w:val="28"/>
          <w:szCs w:val="28"/>
          <w:lang w:val="ro-MD"/>
        </w:rPr>
        <w:t>b</w:t>
      </w:r>
      <w:r w:rsidRPr="00AA7B00">
        <w:rPr>
          <w:rFonts w:ascii="Times New Roman" w:eastAsia="Times New Roman" w:hAnsi="Times New Roman" w:cs="Times New Roman"/>
          <w:sz w:val="28"/>
          <w:szCs w:val="28"/>
          <w:lang w:val="ro-MD"/>
        </w:rPr>
        <w:t>p. 10) din Regulamentul privind ţinerea registrului acționarilor d</w:t>
      </w:r>
      <w:r w:rsidR="008C7B01" w:rsidRPr="00AA7B00">
        <w:rPr>
          <w:rFonts w:ascii="Times New Roman" w:eastAsia="Times New Roman" w:hAnsi="Times New Roman" w:cs="Times New Roman"/>
          <w:sz w:val="28"/>
          <w:szCs w:val="28"/>
          <w:lang w:val="ro-MD"/>
        </w:rPr>
        <w:t>e către societățile de registru</w:t>
      </w:r>
      <w:r w:rsidRPr="00AA7B00">
        <w:rPr>
          <w:rFonts w:ascii="Times New Roman" w:eastAsia="Times New Roman" w:hAnsi="Times New Roman" w:cs="Times New Roman"/>
          <w:sz w:val="28"/>
          <w:szCs w:val="28"/>
          <w:lang w:val="ro-MD"/>
        </w:rPr>
        <w:t xml:space="preserve"> </w:t>
      </w:r>
      <w:r w:rsidR="008C7B01" w:rsidRPr="00AA7B00">
        <w:rPr>
          <w:rFonts w:ascii="Times New Roman" w:eastAsia="Times New Roman" w:hAnsi="Times New Roman" w:cs="Times New Roman"/>
          <w:sz w:val="28"/>
          <w:szCs w:val="28"/>
          <w:lang w:val="ro-MD"/>
        </w:rPr>
        <w:t>(</w:t>
      </w:r>
      <w:r w:rsidR="00C12743" w:rsidRPr="00AA7B00">
        <w:rPr>
          <w:rFonts w:ascii="Times New Roman" w:eastAsia="Times New Roman" w:hAnsi="Times New Roman" w:cs="Times New Roman"/>
          <w:sz w:val="28"/>
          <w:szCs w:val="28"/>
          <w:lang w:val="ro-MD"/>
        </w:rPr>
        <w:t>Hotărârea</w:t>
      </w:r>
      <w:r w:rsidRPr="00AA7B00">
        <w:rPr>
          <w:rFonts w:ascii="Times New Roman" w:eastAsia="Times New Roman" w:hAnsi="Times New Roman" w:cs="Times New Roman"/>
          <w:sz w:val="28"/>
          <w:szCs w:val="28"/>
          <w:lang w:val="ro-MD"/>
        </w:rPr>
        <w:t xml:space="preserve"> Comisiei Naţionale a Pieței Financiare nr.</w:t>
      </w:r>
      <w:r w:rsidR="00D20F41" w:rsidRPr="00AA7B00">
        <w:rPr>
          <w:rFonts w:ascii="Times New Roman" w:eastAsia="Times New Roman" w:hAnsi="Times New Roman" w:cs="Times New Roman"/>
          <w:sz w:val="28"/>
          <w:szCs w:val="28"/>
          <w:lang w:val="ro-MD"/>
        </w:rPr>
        <w:t xml:space="preserve"> </w:t>
      </w:r>
      <w:r w:rsidRPr="00AA7B00">
        <w:rPr>
          <w:rFonts w:ascii="Times New Roman" w:eastAsia="Times New Roman" w:hAnsi="Times New Roman" w:cs="Times New Roman"/>
          <w:sz w:val="28"/>
          <w:szCs w:val="28"/>
          <w:lang w:val="ro-MD"/>
        </w:rPr>
        <w:t>42/2/2024</w:t>
      </w:r>
      <w:r w:rsidR="008C7B01"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rPr>
        <w:t xml:space="preserve"> Monitorul Oficial al Republicii Moldova, 2024, nr. 459 </w:t>
      </w:r>
      <w:r w:rsidR="008C7B01"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rPr>
        <w:t xml:space="preserve"> 461, art. 869)</w:t>
      </w:r>
      <w:r w:rsidR="00AC6BB2" w:rsidRPr="00AA7B00">
        <w:rPr>
          <w:rFonts w:ascii="Times New Roman" w:eastAsia="Times New Roman" w:hAnsi="Times New Roman" w:cs="Times New Roman"/>
          <w:sz w:val="28"/>
          <w:szCs w:val="28"/>
          <w:lang w:val="ro-MD"/>
        </w:rPr>
        <w:t xml:space="preserve">, </w:t>
      </w:r>
    </w:p>
    <w:p w:rsidR="00734289" w:rsidRPr="00AA7B00" w:rsidRDefault="00734289" w:rsidP="00AA7B00">
      <w:pPr>
        <w:spacing w:after="0" w:line="240" w:lineRule="auto"/>
        <w:jc w:val="center"/>
        <w:rPr>
          <w:rFonts w:ascii="Times New Roman" w:eastAsia="Times New Roman" w:hAnsi="Times New Roman" w:cs="Times New Roman"/>
          <w:b/>
          <w:bCs/>
          <w:sz w:val="28"/>
          <w:szCs w:val="28"/>
          <w:lang w:val="ro-MD"/>
        </w:rPr>
      </w:pPr>
    </w:p>
    <w:p w:rsidR="00AC6BB2" w:rsidRPr="00AA7B00" w:rsidRDefault="00C12743"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sz w:val="28"/>
          <w:szCs w:val="28"/>
          <w:lang w:val="ro-MD" w:eastAsia="ru-RU"/>
        </w:rPr>
        <w:t xml:space="preserve">Comisia Naţională a Pieţei Financiare </w:t>
      </w:r>
      <w:r w:rsidR="00AC6BB2" w:rsidRPr="00AA7B00">
        <w:rPr>
          <w:rFonts w:ascii="Times New Roman" w:eastAsia="Times New Roman" w:hAnsi="Times New Roman" w:cs="Times New Roman"/>
          <w:b/>
          <w:bCs/>
          <w:sz w:val="28"/>
          <w:szCs w:val="28"/>
          <w:lang w:val="ro-MD"/>
        </w:rPr>
        <w:t>HOTĂRĂŞTE:</w:t>
      </w:r>
    </w:p>
    <w:p w:rsidR="00734289" w:rsidRPr="00AA7B00" w:rsidRDefault="00734289" w:rsidP="00AA7B00">
      <w:pPr>
        <w:tabs>
          <w:tab w:val="left" w:pos="5265"/>
        </w:tabs>
        <w:spacing w:after="0" w:line="240" w:lineRule="auto"/>
        <w:rPr>
          <w:rFonts w:ascii="Times New Roman" w:eastAsia="Times New Roman" w:hAnsi="Times New Roman" w:cs="Times New Roman"/>
          <w:sz w:val="28"/>
          <w:szCs w:val="28"/>
          <w:lang w:val="ro-MD"/>
        </w:rPr>
      </w:pPr>
    </w:p>
    <w:p w:rsidR="00AC6BB2" w:rsidRPr="00AA7B00" w:rsidRDefault="00AC6BB2" w:rsidP="00AA7B00">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 xml:space="preserve">Se aprobă </w:t>
      </w:r>
      <w:r w:rsidR="00ED2C5C" w:rsidRPr="00AA7B00">
        <w:rPr>
          <w:rFonts w:ascii="Times New Roman" w:eastAsia="Times New Roman" w:hAnsi="Times New Roman" w:cs="Times New Roman"/>
          <w:sz w:val="28"/>
          <w:szCs w:val="28"/>
          <w:lang w:val="ro-MD"/>
        </w:rPr>
        <w:t>cuantumul maxim</w:t>
      </w:r>
      <w:r w:rsidRPr="00AA7B00">
        <w:rPr>
          <w:rFonts w:ascii="Times New Roman" w:eastAsia="Times New Roman" w:hAnsi="Times New Roman" w:cs="Times New Roman"/>
          <w:sz w:val="28"/>
          <w:szCs w:val="28"/>
          <w:lang w:val="ro-MD"/>
        </w:rPr>
        <w:t xml:space="preserve"> al</w:t>
      </w:r>
      <w:r w:rsidR="00ED2C5C" w:rsidRPr="00AA7B00">
        <w:rPr>
          <w:rFonts w:ascii="Times New Roman" w:eastAsia="Times New Roman" w:hAnsi="Times New Roman" w:cs="Times New Roman"/>
          <w:sz w:val="28"/>
          <w:szCs w:val="28"/>
          <w:lang w:val="ro-MD"/>
        </w:rPr>
        <w:t xml:space="preserve"> taxelor pentru</w:t>
      </w:r>
      <w:r w:rsidRPr="00AA7B00">
        <w:rPr>
          <w:rFonts w:ascii="Times New Roman" w:eastAsia="Times New Roman" w:hAnsi="Times New Roman" w:cs="Times New Roman"/>
          <w:sz w:val="28"/>
          <w:szCs w:val="28"/>
          <w:lang w:val="ro-MD"/>
        </w:rPr>
        <w:t xml:space="preserve"> serviciil</w:t>
      </w:r>
      <w:r w:rsidR="00C12743" w:rsidRPr="00AA7B00">
        <w:rPr>
          <w:rFonts w:ascii="Times New Roman" w:eastAsia="Times New Roman" w:hAnsi="Times New Roman" w:cs="Times New Roman"/>
          <w:sz w:val="28"/>
          <w:szCs w:val="28"/>
          <w:lang w:val="ro-MD"/>
        </w:rPr>
        <w:t>e</w:t>
      </w:r>
      <w:r w:rsidRPr="00AA7B00">
        <w:rPr>
          <w:rFonts w:ascii="Times New Roman" w:eastAsia="Times New Roman" w:hAnsi="Times New Roman" w:cs="Times New Roman"/>
          <w:sz w:val="28"/>
          <w:szCs w:val="28"/>
          <w:lang w:val="ro-MD"/>
        </w:rPr>
        <w:t xml:space="preserve"> prestate de către societate</w:t>
      </w:r>
      <w:r w:rsidR="00ED2C5C" w:rsidRPr="00AA7B00">
        <w:rPr>
          <w:rFonts w:ascii="Times New Roman" w:eastAsia="Times New Roman" w:hAnsi="Times New Roman" w:cs="Times New Roman"/>
          <w:sz w:val="28"/>
          <w:szCs w:val="28"/>
          <w:lang w:val="ro-MD"/>
        </w:rPr>
        <w:t>a</w:t>
      </w:r>
      <w:r w:rsidRPr="00AA7B00">
        <w:rPr>
          <w:rFonts w:ascii="Times New Roman" w:eastAsia="Times New Roman" w:hAnsi="Times New Roman" w:cs="Times New Roman"/>
          <w:sz w:val="28"/>
          <w:szCs w:val="28"/>
          <w:lang w:val="ro-MD"/>
        </w:rPr>
        <w:t xml:space="preserve"> de registru, conform anexei.</w:t>
      </w:r>
    </w:p>
    <w:p w:rsidR="00C949B4" w:rsidRPr="00AA7B00" w:rsidRDefault="00C949B4" w:rsidP="00AA7B00">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Societă</w:t>
      </w:r>
      <w:r w:rsidR="007B0745" w:rsidRPr="00AA7B00">
        <w:rPr>
          <w:rFonts w:ascii="Times New Roman" w:eastAsia="Times New Roman" w:hAnsi="Times New Roman" w:cs="Times New Roman"/>
          <w:sz w:val="28"/>
          <w:szCs w:val="28"/>
          <w:lang w:val="ro-MD"/>
        </w:rPr>
        <w:t>țile de registru, în termen de 2 luni</w:t>
      </w:r>
      <w:r w:rsidRPr="00AA7B00">
        <w:rPr>
          <w:rFonts w:ascii="Times New Roman" w:eastAsia="Times New Roman" w:hAnsi="Times New Roman" w:cs="Times New Roman"/>
          <w:sz w:val="28"/>
          <w:szCs w:val="28"/>
          <w:lang w:val="ro-MD"/>
        </w:rPr>
        <w:t xml:space="preserve"> </w:t>
      </w:r>
      <w:r w:rsidRPr="00AA7B00">
        <w:rPr>
          <w:rFonts w:ascii="Times New Roman" w:eastAsia="Times New Roman" w:hAnsi="Times New Roman" w:cs="Times New Roman"/>
          <w:sz w:val="28"/>
          <w:szCs w:val="28"/>
          <w:lang w:val="ro-MD" w:eastAsia="ro-RO"/>
        </w:rPr>
        <w:t xml:space="preserve">de la data intrării în vigoare a prezentei </w:t>
      </w:r>
      <w:r w:rsidR="00C12743" w:rsidRPr="00AA7B00">
        <w:rPr>
          <w:rFonts w:ascii="Times New Roman" w:eastAsia="Times New Roman" w:hAnsi="Times New Roman" w:cs="Times New Roman"/>
          <w:sz w:val="28"/>
          <w:szCs w:val="28"/>
          <w:lang w:val="ro-MD" w:eastAsia="ro-RO"/>
        </w:rPr>
        <w:t>Hotărâri</w:t>
      </w:r>
      <w:r w:rsidRPr="00AA7B00">
        <w:rPr>
          <w:rFonts w:ascii="Times New Roman" w:eastAsia="Times New Roman" w:hAnsi="Times New Roman" w:cs="Times New Roman"/>
          <w:sz w:val="28"/>
          <w:szCs w:val="28"/>
          <w:lang w:val="ro-MD" w:eastAsia="ro-RO"/>
        </w:rPr>
        <w:t>, vor aduce mărimea preţurilor pentru serviciile prestate, pre</w:t>
      </w:r>
      <w:r w:rsidR="00542DDE" w:rsidRPr="00AA7B00">
        <w:rPr>
          <w:rFonts w:ascii="Times New Roman" w:eastAsia="Times New Roman" w:hAnsi="Times New Roman" w:cs="Times New Roman"/>
          <w:sz w:val="28"/>
          <w:szCs w:val="28"/>
          <w:lang w:val="ro-MD" w:eastAsia="ro-RO"/>
        </w:rPr>
        <w:t>cum şi plăţile percepute potrivit</w:t>
      </w:r>
      <w:r w:rsidRPr="00AA7B00">
        <w:rPr>
          <w:rFonts w:ascii="Times New Roman" w:eastAsia="Times New Roman" w:hAnsi="Times New Roman" w:cs="Times New Roman"/>
          <w:sz w:val="28"/>
          <w:szCs w:val="28"/>
          <w:lang w:val="ro-MD" w:eastAsia="ro-RO"/>
        </w:rPr>
        <w:t xml:space="preserve"> </w:t>
      </w:r>
      <w:r w:rsidR="00DB2594" w:rsidRPr="00AA7B00">
        <w:rPr>
          <w:rFonts w:ascii="Times New Roman" w:eastAsia="Times New Roman" w:hAnsi="Times New Roman" w:cs="Times New Roman"/>
          <w:sz w:val="28"/>
          <w:szCs w:val="28"/>
          <w:lang w:val="ro-MD"/>
        </w:rPr>
        <w:t>pct. 5.1. și pct. 5.3</w:t>
      </w:r>
      <w:r w:rsidR="00010576" w:rsidRPr="00AA7B00">
        <w:rPr>
          <w:rFonts w:ascii="Times New Roman" w:eastAsia="Times New Roman" w:hAnsi="Times New Roman" w:cs="Times New Roman"/>
          <w:sz w:val="28"/>
          <w:szCs w:val="28"/>
          <w:lang w:val="ro-MD"/>
        </w:rPr>
        <w:t>.</w:t>
      </w:r>
      <w:r w:rsidR="00DB2594" w:rsidRPr="00AA7B00">
        <w:rPr>
          <w:rFonts w:ascii="Times New Roman" w:eastAsia="Times New Roman" w:hAnsi="Times New Roman" w:cs="Times New Roman"/>
          <w:sz w:val="28"/>
          <w:szCs w:val="28"/>
          <w:lang w:val="ro-MD"/>
        </w:rPr>
        <w:t xml:space="preserve"> –</w:t>
      </w:r>
      <w:r w:rsidRPr="00AA7B00">
        <w:rPr>
          <w:rFonts w:ascii="Times New Roman" w:eastAsia="Times New Roman" w:hAnsi="Times New Roman" w:cs="Times New Roman"/>
          <w:sz w:val="28"/>
          <w:szCs w:val="28"/>
          <w:lang w:val="ro-MD"/>
        </w:rPr>
        <w:t xml:space="preserve"> 5.5. din </w:t>
      </w:r>
      <w:r w:rsidR="00DB2594" w:rsidRPr="00AA7B00">
        <w:rPr>
          <w:rFonts w:ascii="Times New Roman" w:eastAsia="Times New Roman" w:hAnsi="Times New Roman" w:cs="Times New Roman"/>
          <w:sz w:val="28"/>
          <w:szCs w:val="28"/>
          <w:lang w:val="ro-MD"/>
        </w:rPr>
        <w:t>C</w:t>
      </w:r>
      <w:r w:rsidRPr="00AA7B00">
        <w:rPr>
          <w:rFonts w:ascii="Times New Roman" w:eastAsia="Times New Roman" w:hAnsi="Times New Roman" w:cs="Times New Roman"/>
          <w:sz w:val="28"/>
          <w:szCs w:val="28"/>
          <w:lang w:val="ro-MD"/>
        </w:rPr>
        <w:t>ontractul-tip de ţinere a registr</w:t>
      </w:r>
      <w:r w:rsidR="00320A6B" w:rsidRPr="00AA7B00">
        <w:rPr>
          <w:rFonts w:ascii="Times New Roman" w:eastAsia="Times New Roman" w:hAnsi="Times New Roman" w:cs="Times New Roman"/>
          <w:sz w:val="28"/>
          <w:szCs w:val="28"/>
          <w:lang w:val="ro-MD"/>
        </w:rPr>
        <w:t>ului acționarilor (</w:t>
      </w:r>
      <w:r w:rsidR="00010576" w:rsidRPr="00AA7B00">
        <w:rPr>
          <w:rFonts w:ascii="Times New Roman" w:eastAsia="Times New Roman" w:hAnsi="Times New Roman" w:cs="Times New Roman"/>
          <w:sz w:val="28"/>
          <w:szCs w:val="28"/>
          <w:lang w:val="ro-MD"/>
        </w:rPr>
        <w:t>a</w:t>
      </w:r>
      <w:r w:rsidR="00E375C9" w:rsidRPr="00AA7B00">
        <w:rPr>
          <w:rFonts w:ascii="Times New Roman" w:eastAsia="Times New Roman" w:hAnsi="Times New Roman" w:cs="Times New Roman"/>
          <w:sz w:val="28"/>
          <w:szCs w:val="28"/>
          <w:lang w:val="ro-MD"/>
        </w:rPr>
        <w:t>nexa</w:t>
      </w:r>
      <w:r w:rsidRPr="00AA7B00">
        <w:rPr>
          <w:rFonts w:ascii="Times New Roman" w:eastAsia="Times New Roman" w:hAnsi="Times New Roman" w:cs="Times New Roman"/>
          <w:sz w:val="28"/>
          <w:szCs w:val="28"/>
          <w:lang w:val="ro-MD"/>
        </w:rPr>
        <w:t xml:space="preserve"> nr. 1 la Regulamentul privind ţinerea registrului acționarilor de către societățile de registru</w:t>
      </w:r>
      <w:r w:rsidR="00320A6B" w:rsidRPr="00AA7B00">
        <w:rPr>
          <w:rFonts w:ascii="Times New Roman" w:eastAsia="Times New Roman" w:hAnsi="Times New Roman" w:cs="Times New Roman"/>
          <w:sz w:val="28"/>
          <w:szCs w:val="28"/>
          <w:lang w:val="ro-MD"/>
        </w:rPr>
        <w:t xml:space="preserve">, aprobat prin </w:t>
      </w:r>
      <w:r w:rsidRPr="00AA7B00">
        <w:rPr>
          <w:rFonts w:ascii="Times New Roman" w:eastAsia="Times New Roman" w:hAnsi="Times New Roman" w:cs="Times New Roman"/>
          <w:sz w:val="28"/>
          <w:szCs w:val="28"/>
          <w:lang w:val="ro-MD"/>
        </w:rPr>
        <w:t xml:space="preserve">Hotărârea </w:t>
      </w:r>
      <w:r w:rsidR="003F37E4" w:rsidRPr="00AA7B00">
        <w:rPr>
          <w:rFonts w:ascii="Times New Roman" w:eastAsia="Times New Roman" w:hAnsi="Times New Roman" w:cs="Times New Roman"/>
          <w:sz w:val="28"/>
          <w:szCs w:val="28"/>
          <w:lang w:val="ro-MD" w:eastAsia="ro-RO"/>
        </w:rPr>
        <w:t>Comisiei Naţionale a Pieţei Financiare</w:t>
      </w:r>
      <w:r w:rsidRPr="00AA7B00">
        <w:rPr>
          <w:rFonts w:ascii="Times New Roman" w:eastAsia="Times New Roman" w:hAnsi="Times New Roman" w:cs="Times New Roman"/>
          <w:sz w:val="28"/>
          <w:szCs w:val="28"/>
          <w:lang w:val="ro-MD"/>
        </w:rPr>
        <w:t xml:space="preserve"> nr. 42/2/2024</w:t>
      </w:r>
      <w:r w:rsidR="00010576"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rPr>
        <w:t xml:space="preserve"> </w:t>
      </w:r>
      <w:r w:rsidRPr="00AA7B00">
        <w:rPr>
          <w:rFonts w:ascii="Times New Roman" w:eastAsia="Times New Roman" w:hAnsi="Times New Roman" w:cs="Times New Roman"/>
          <w:sz w:val="28"/>
          <w:szCs w:val="28"/>
          <w:lang w:val="ro-MD" w:eastAsia="ro-RO"/>
        </w:rPr>
        <w:t xml:space="preserve">în conformitate cu prevederile prezentei </w:t>
      </w:r>
      <w:r w:rsidR="00C12743" w:rsidRPr="00AA7B00">
        <w:rPr>
          <w:rFonts w:ascii="Times New Roman" w:eastAsia="Times New Roman" w:hAnsi="Times New Roman" w:cs="Times New Roman"/>
          <w:sz w:val="28"/>
          <w:szCs w:val="28"/>
          <w:lang w:val="ro-MD" w:eastAsia="ro-RO"/>
        </w:rPr>
        <w:t>H</w:t>
      </w:r>
      <w:r w:rsidRPr="00AA7B00">
        <w:rPr>
          <w:rFonts w:ascii="Times New Roman" w:eastAsia="Times New Roman" w:hAnsi="Times New Roman" w:cs="Times New Roman"/>
          <w:sz w:val="28"/>
          <w:szCs w:val="28"/>
          <w:lang w:val="ro-MD" w:eastAsia="ro-RO"/>
        </w:rPr>
        <w:t>otărâri, cu informarea Comisiei Naţionale a Pieţei Financiare.</w:t>
      </w:r>
    </w:p>
    <w:p w:rsidR="00196BB0" w:rsidRPr="00AA7B00" w:rsidRDefault="00C949B4"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Cs/>
          <w:sz w:val="28"/>
          <w:szCs w:val="28"/>
          <w:lang w:val="ro-MD"/>
        </w:rPr>
        <w:t>3</w:t>
      </w:r>
      <w:r w:rsidR="00AC6BB2" w:rsidRPr="00AA7B00">
        <w:rPr>
          <w:rFonts w:ascii="Times New Roman" w:eastAsia="Times New Roman" w:hAnsi="Times New Roman" w:cs="Times New Roman"/>
          <w:bCs/>
          <w:sz w:val="28"/>
          <w:szCs w:val="28"/>
          <w:lang w:val="ro-MD"/>
        </w:rPr>
        <w:t>.</w:t>
      </w:r>
      <w:r w:rsidR="00AC6BB2" w:rsidRPr="00AA7B00">
        <w:rPr>
          <w:rFonts w:ascii="Times New Roman" w:eastAsia="Times New Roman" w:hAnsi="Times New Roman" w:cs="Times New Roman"/>
          <w:sz w:val="28"/>
          <w:szCs w:val="28"/>
          <w:lang w:val="ro-MD"/>
        </w:rPr>
        <w:t xml:space="preserve"> </w:t>
      </w:r>
      <w:r w:rsidR="00196BB0" w:rsidRPr="00AA7B00">
        <w:rPr>
          <w:rFonts w:ascii="Times New Roman" w:eastAsia="Times New Roman" w:hAnsi="Times New Roman" w:cs="Times New Roman"/>
          <w:sz w:val="28"/>
          <w:szCs w:val="28"/>
          <w:lang w:val="ro-MD"/>
        </w:rPr>
        <w:t>Societățile de registru nu sunt în drept să perceapă alte plăți decât cele stipulate în Lista serviciilor și a prețurilor percepute pentru serviciile prestate.</w:t>
      </w:r>
    </w:p>
    <w:p w:rsidR="00AC6BB2" w:rsidRPr="00AA7B00" w:rsidRDefault="00EF3015"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Cs/>
          <w:sz w:val="28"/>
          <w:szCs w:val="28"/>
          <w:lang w:val="ro-MD"/>
        </w:rPr>
        <w:t>4</w:t>
      </w:r>
      <w:r w:rsidR="00AC6BB2" w:rsidRPr="00AA7B00">
        <w:rPr>
          <w:rFonts w:ascii="Times New Roman" w:eastAsia="Times New Roman" w:hAnsi="Times New Roman" w:cs="Times New Roman"/>
          <w:bCs/>
          <w:sz w:val="28"/>
          <w:szCs w:val="28"/>
          <w:lang w:val="ro-MD"/>
        </w:rPr>
        <w:t>.</w:t>
      </w:r>
      <w:r w:rsidR="00AC6BB2" w:rsidRPr="00AA7B00">
        <w:rPr>
          <w:rFonts w:ascii="Times New Roman" w:eastAsia="Times New Roman" w:hAnsi="Times New Roman" w:cs="Times New Roman"/>
          <w:sz w:val="28"/>
          <w:szCs w:val="28"/>
          <w:lang w:val="ro-MD"/>
        </w:rPr>
        <w:t xml:space="preserve"> Se abrogă Hotăr</w:t>
      </w:r>
      <w:r w:rsidR="00930252"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rea Comisiei Naţionale a </w:t>
      </w:r>
      <w:r w:rsidR="00C12743" w:rsidRPr="00AA7B00">
        <w:rPr>
          <w:rFonts w:ascii="Times New Roman" w:eastAsia="Times New Roman" w:hAnsi="Times New Roman" w:cs="Times New Roman"/>
          <w:sz w:val="28"/>
          <w:szCs w:val="28"/>
          <w:lang w:val="ro-MD"/>
        </w:rPr>
        <w:t>P</w:t>
      </w:r>
      <w:r w:rsidR="00A17E6E" w:rsidRPr="00AA7B00">
        <w:rPr>
          <w:rFonts w:ascii="Times New Roman" w:eastAsia="Times New Roman" w:hAnsi="Times New Roman" w:cs="Times New Roman"/>
          <w:sz w:val="28"/>
          <w:szCs w:val="28"/>
          <w:lang w:val="ro-MD"/>
        </w:rPr>
        <w:t>ieței Financiare</w:t>
      </w:r>
      <w:r w:rsidR="00AC6BB2" w:rsidRPr="00AA7B00">
        <w:rPr>
          <w:rFonts w:ascii="Times New Roman" w:eastAsia="Times New Roman" w:hAnsi="Times New Roman" w:cs="Times New Roman"/>
          <w:sz w:val="28"/>
          <w:szCs w:val="28"/>
          <w:lang w:val="ro-MD"/>
        </w:rPr>
        <w:t xml:space="preserve"> nr.</w:t>
      </w:r>
      <w:r w:rsidR="00A17E6E" w:rsidRPr="00AA7B00">
        <w:rPr>
          <w:rFonts w:ascii="Times New Roman" w:eastAsia="Times New Roman" w:hAnsi="Times New Roman" w:cs="Times New Roman"/>
          <w:sz w:val="28"/>
          <w:szCs w:val="28"/>
          <w:lang w:val="ro-MD"/>
        </w:rPr>
        <w:t xml:space="preserve"> 54/1/2012</w:t>
      </w:r>
      <w:r w:rsidR="00AC6BB2" w:rsidRPr="00AA7B00">
        <w:rPr>
          <w:rFonts w:ascii="Times New Roman" w:eastAsia="Times New Roman" w:hAnsi="Times New Roman" w:cs="Times New Roman"/>
          <w:sz w:val="28"/>
          <w:szCs w:val="28"/>
          <w:lang w:val="ro-MD"/>
        </w:rPr>
        <w:t xml:space="preserve"> </w:t>
      </w:r>
      <w:r w:rsidR="00F61FE0" w:rsidRPr="00AA7B00">
        <w:rPr>
          <w:rFonts w:ascii="Times New Roman" w:eastAsia="Times New Roman" w:hAnsi="Times New Roman" w:cs="Times New Roman"/>
          <w:sz w:val="28"/>
          <w:szCs w:val="28"/>
          <w:lang w:val="ro-MD"/>
        </w:rPr>
        <w:t>c</w:t>
      </w:r>
      <w:r w:rsidR="00AC6BB2" w:rsidRPr="00AA7B00">
        <w:rPr>
          <w:rFonts w:ascii="Times New Roman" w:eastAsia="Times New Roman" w:hAnsi="Times New Roman" w:cs="Times New Roman"/>
          <w:sz w:val="28"/>
          <w:szCs w:val="28"/>
          <w:lang w:val="ro-MD"/>
        </w:rPr>
        <w:t xml:space="preserve">u privire la aprobarea </w:t>
      </w:r>
      <w:r w:rsidR="00A17E6E" w:rsidRPr="00AA7B00">
        <w:rPr>
          <w:rFonts w:ascii="Times New Roman" w:eastAsia="Times New Roman" w:hAnsi="Times New Roman" w:cs="Times New Roman"/>
          <w:sz w:val="28"/>
          <w:szCs w:val="28"/>
          <w:lang w:val="ro-MD"/>
        </w:rPr>
        <w:t xml:space="preserve">mărimii prețurilor </w:t>
      </w:r>
      <w:r w:rsidR="00AC6BB2" w:rsidRPr="00AA7B00">
        <w:rPr>
          <w:rFonts w:ascii="Times New Roman" w:eastAsia="Times New Roman" w:hAnsi="Times New Roman" w:cs="Times New Roman"/>
          <w:sz w:val="28"/>
          <w:szCs w:val="28"/>
          <w:lang w:val="ro-MD"/>
        </w:rPr>
        <w:t xml:space="preserve">maximale </w:t>
      </w:r>
      <w:r w:rsidR="00A17E6E" w:rsidRPr="00AA7B00">
        <w:rPr>
          <w:rFonts w:ascii="Times New Roman" w:eastAsia="Times New Roman" w:hAnsi="Times New Roman" w:cs="Times New Roman"/>
          <w:sz w:val="28"/>
          <w:szCs w:val="28"/>
          <w:lang w:val="ro-MD"/>
        </w:rPr>
        <w:t xml:space="preserve">ale serviciilor prestate </w:t>
      </w:r>
      <w:r w:rsidR="00AC6BB2" w:rsidRPr="00AA7B00">
        <w:rPr>
          <w:rFonts w:ascii="Times New Roman" w:eastAsia="Times New Roman" w:hAnsi="Times New Roman" w:cs="Times New Roman"/>
          <w:sz w:val="28"/>
          <w:szCs w:val="28"/>
          <w:lang w:val="ro-MD"/>
        </w:rPr>
        <w:t xml:space="preserve">de către </w:t>
      </w:r>
      <w:r w:rsidR="00A17E6E" w:rsidRPr="00AA7B00">
        <w:rPr>
          <w:rFonts w:ascii="Times New Roman" w:eastAsia="Times New Roman" w:hAnsi="Times New Roman" w:cs="Times New Roman"/>
          <w:sz w:val="28"/>
          <w:szCs w:val="28"/>
          <w:lang w:val="ro-MD"/>
        </w:rPr>
        <w:t>persoanele ce dețin autorizație de societate de registru</w:t>
      </w:r>
      <w:r w:rsidR="00AC6BB2" w:rsidRPr="00AA7B00">
        <w:rPr>
          <w:rFonts w:ascii="Times New Roman" w:eastAsia="Times New Roman" w:hAnsi="Times New Roman" w:cs="Times New Roman"/>
          <w:sz w:val="28"/>
          <w:szCs w:val="28"/>
          <w:lang w:val="ro-MD"/>
        </w:rPr>
        <w:t xml:space="preserve"> (Monitorul Oficial al Republicii Moldova, 20</w:t>
      </w:r>
      <w:r w:rsidR="00A17E6E" w:rsidRPr="00AA7B00">
        <w:rPr>
          <w:rFonts w:ascii="Times New Roman" w:eastAsia="Times New Roman" w:hAnsi="Times New Roman" w:cs="Times New Roman"/>
          <w:sz w:val="28"/>
          <w:szCs w:val="28"/>
          <w:lang w:val="ro-MD"/>
        </w:rPr>
        <w:t>13</w:t>
      </w:r>
      <w:r w:rsidR="00AC6BB2" w:rsidRPr="00AA7B00">
        <w:rPr>
          <w:rFonts w:ascii="Times New Roman" w:eastAsia="Times New Roman" w:hAnsi="Times New Roman" w:cs="Times New Roman"/>
          <w:sz w:val="28"/>
          <w:szCs w:val="28"/>
          <w:lang w:val="ro-MD"/>
        </w:rPr>
        <w:t>, nr.</w:t>
      </w:r>
      <w:r w:rsidR="00D20F41" w:rsidRPr="00AA7B00">
        <w:rPr>
          <w:rFonts w:ascii="Times New Roman" w:eastAsia="Times New Roman" w:hAnsi="Times New Roman" w:cs="Times New Roman"/>
          <w:sz w:val="28"/>
          <w:szCs w:val="28"/>
          <w:lang w:val="ro-MD"/>
        </w:rPr>
        <w:t xml:space="preserve"> </w:t>
      </w:r>
      <w:r w:rsidR="00A17E6E" w:rsidRPr="00AA7B00">
        <w:rPr>
          <w:rFonts w:ascii="Times New Roman" w:eastAsia="Times New Roman" w:hAnsi="Times New Roman" w:cs="Times New Roman"/>
          <w:sz w:val="28"/>
          <w:szCs w:val="28"/>
          <w:lang w:val="ro-MD"/>
        </w:rPr>
        <w:t>36</w:t>
      </w:r>
      <w:r w:rsidR="00010576" w:rsidRPr="00AA7B00">
        <w:rPr>
          <w:rFonts w:ascii="Times New Roman" w:eastAsia="Times New Roman" w:hAnsi="Times New Roman" w:cs="Times New Roman"/>
          <w:sz w:val="28"/>
          <w:szCs w:val="28"/>
          <w:lang w:val="ro-MD"/>
        </w:rPr>
        <w:t xml:space="preserve"> – </w:t>
      </w:r>
      <w:r w:rsidR="00A17E6E" w:rsidRPr="00AA7B00">
        <w:rPr>
          <w:rFonts w:ascii="Times New Roman" w:eastAsia="Times New Roman" w:hAnsi="Times New Roman" w:cs="Times New Roman"/>
          <w:sz w:val="28"/>
          <w:szCs w:val="28"/>
          <w:lang w:val="ro-MD"/>
        </w:rPr>
        <w:t>40</w:t>
      </w:r>
      <w:r w:rsidR="00AC6BB2" w:rsidRPr="00AA7B00">
        <w:rPr>
          <w:rFonts w:ascii="Times New Roman" w:eastAsia="Times New Roman" w:hAnsi="Times New Roman" w:cs="Times New Roman"/>
          <w:sz w:val="28"/>
          <w:szCs w:val="28"/>
          <w:lang w:val="ro-MD"/>
        </w:rPr>
        <w:t>, art.</w:t>
      </w:r>
      <w:r w:rsidR="00D20F41" w:rsidRPr="00AA7B00">
        <w:rPr>
          <w:rFonts w:ascii="Times New Roman" w:eastAsia="Times New Roman" w:hAnsi="Times New Roman" w:cs="Times New Roman"/>
          <w:sz w:val="28"/>
          <w:szCs w:val="28"/>
          <w:lang w:val="ro-MD"/>
        </w:rPr>
        <w:t xml:space="preserve"> </w:t>
      </w:r>
      <w:r w:rsidR="00A17E6E" w:rsidRPr="00AA7B00">
        <w:rPr>
          <w:rFonts w:ascii="Times New Roman" w:eastAsia="Times New Roman" w:hAnsi="Times New Roman" w:cs="Times New Roman"/>
          <w:sz w:val="28"/>
          <w:szCs w:val="28"/>
          <w:lang w:val="ro-MD"/>
        </w:rPr>
        <w:t>167</w:t>
      </w:r>
      <w:r w:rsidR="00AC6BB2" w:rsidRPr="00AA7B00">
        <w:rPr>
          <w:rFonts w:ascii="Times New Roman" w:eastAsia="Times New Roman" w:hAnsi="Times New Roman" w:cs="Times New Roman"/>
          <w:sz w:val="28"/>
          <w:szCs w:val="28"/>
          <w:lang w:val="ro-MD"/>
        </w:rPr>
        <w:t>).</w:t>
      </w:r>
    </w:p>
    <w:p w:rsidR="00AC6BB2" w:rsidRPr="00AA7B00" w:rsidRDefault="00EF3015"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Cs/>
          <w:sz w:val="28"/>
          <w:szCs w:val="28"/>
          <w:lang w:val="ro-MD"/>
        </w:rPr>
        <w:t>5</w:t>
      </w:r>
      <w:r w:rsidR="00AC6BB2" w:rsidRPr="00AA7B00">
        <w:rPr>
          <w:rFonts w:ascii="Times New Roman" w:eastAsia="Times New Roman" w:hAnsi="Times New Roman" w:cs="Times New Roman"/>
          <w:bCs/>
          <w:sz w:val="28"/>
          <w:szCs w:val="28"/>
          <w:lang w:val="ro-MD"/>
        </w:rPr>
        <w:t>.</w:t>
      </w:r>
      <w:r w:rsidR="00AC6BB2" w:rsidRPr="00AA7B00">
        <w:rPr>
          <w:rFonts w:ascii="Times New Roman" w:eastAsia="Times New Roman" w:hAnsi="Times New Roman" w:cs="Times New Roman"/>
          <w:sz w:val="28"/>
          <w:szCs w:val="28"/>
          <w:lang w:val="ro-MD"/>
        </w:rPr>
        <w:t xml:space="preserve"> Prezenta </w:t>
      </w:r>
      <w:r w:rsidR="00C12743" w:rsidRPr="00AA7B00">
        <w:rPr>
          <w:rFonts w:ascii="Times New Roman" w:eastAsia="Times New Roman" w:hAnsi="Times New Roman" w:cs="Times New Roman"/>
          <w:sz w:val="28"/>
          <w:szCs w:val="28"/>
          <w:lang w:val="ro-MD"/>
        </w:rPr>
        <w:t>H</w:t>
      </w:r>
      <w:r w:rsidR="00AC6BB2" w:rsidRPr="00AA7B00">
        <w:rPr>
          <w:rFonts w:ascii="Times New Roman" w:eastAsia="Times New Roman" w:hAnsi="Times New Roman" w:cs="Times New Roman"/>
          <w:sz w:val="28"/>
          <w:szCs w:val="28"/>
          <w:lang w:val="ro-MD"/>
        </w:rPr>
        <w:t>otăr</w:t>
      </w:r>
      <w:r w:rsidR="0045281D"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re intră în vigoare din data publicării</w:t>
      </w:r>
      <w:r w:rsidR="00010576" w:rsidRPr="00AA7B00">
        <w:rPr>
          <w:rFonts w:ascii="Times New Roman" w:eastAsia="Times New Roman" w:hAnsi="Times New Roman" w:cs="Times New Roman"/>
          <w:sz w:val="28"/>
          <w:szCs w:val="28"/>
          <w:lang w:val="ro-MD"/>
        </w:rPr>
        <w:t xml:space="preserve"> în Monitorul Oficial al Republicii Moldova</w:t>
      </w:r>
      <w:r w:rsidR="00AC6BB2" w:rsidRPr="00AA7B00">
        <w:rPr>
          <w:rFonts w:ascii="Times New Roman" w:eastAsia="Times New Roman" w:hAnsi="Times New Roman" w:cs="Times New Roman"/>
          <w:sz w:val="28"/>
          <w:szCs w:val="28"/>
          <w:lang w:val="ro-MD"/>
        </w:rPr>
        <w:t>.</w:t>
      </w:r>
    </w:p>
    <w:p w:rsidR="004F646C" w:rsidRPr="00AA7B00" w:rsidRDefault="004F646C" w:rsidP="00AA7B00">
      <w:pPr>
        <w:spacing w:after="0" w:line="240" w:lineRule="auto"/>
        <w:ind w:firstLine="567"/>
        <w:jc w:val="both"/>
        <w:rPr>
          <w:rFonts w:ascii="Times New Roman" w:eastAsia="Times New Roman" w:hAnsi="Times New Roman" w:cs="Times New Roman"/>
          <w:sz w:val="28"/>
          <w:szCs w:val="28"/>
          <w:lang w:val="ro-MD"/>
        </w:rPr>
      </w:pPr>
    </w:p>
    <w:p w:rsidR="00AD78CD" w:rsidRPr="00AA7B00" w:rsidRDefault="00AD78CD" w:rsidP="00AA7B00">
      <w:pPr>
        <w:tabs>
          <w:tab w:val="left" w:pos="284"/>
          <w:tab w:val="left" w:pos="8931"/>
        </w:tabs>
        <w:spacing w:after="0" w:line="240" w:lineRule="auto"/>
        <w:ind w:right="-1" w:hanging="426"/>
        <w:jc w:val="right"/>
        <w:rPr>
          <w:rFonts w:ascii="Times New Roman" w:hAnsi="Times New Roman"/>
          <w:b/>
          <w:color w:val="000000"/>
          <w:sz w:val="28"/>
          <w:szCs w:val="28"/>
          <w:lang w:val="ro-MD"/>
        </w:rPr>
      </w:pPr>
    </w:p>
    <w:p w:rsidR="003C2274" w:rsidRPr="00AA7B00" w:rsidRDefault="003C2274" w:rsidP="00AA7B00">
      <w:pPr>
        <w:tabs>
          <w:tab w:val="left" w:pos="284"/>
          <w:tab w:val="left" w:pos="8931"/>
        </w:tabs>
        <w:spacing w:after="0" w:line="240" w:lineRule="auto"/>
        <w:ind w:right="-1" w:hanging="426"/>
        <w:jc w:val="right"/>
        <w:rPr>
          <w:rFonts w:ascii="Times New Roman" w:hAnsi="Times New Roman"/>
          <w:b/>
          <w:color w:val="000000"/>
          <w:sz w:val="28"/>
          <w:szCs w:val="28"/>
          <w:lang w:val="ro-MD"/>
        </w:rPr>
      </w:pPr>
      <w:r w:rsidRPr="00AA7B00">
        <w:rPr>
          <w:rFonts w:ascii="Times New Roman" w:hAnsi="Times New Roman"/>
          <w:b/>
          <w:color w:val="000000"/>
          <w:sz w:val="28"/>
          <w:szCs w:val="28"/>
          <w:lang w:val="ro-MD"/>
        </w:rPr>
        <w:t>Dumitru BUDIANSCHI,</w:t>
      </w:r>
    </w:p>
    <w:p w:rsidR="00AC6BB2" w:rsidRPr="00AA7B00" w:rsidRDefault="003C2274" w:rsidP="00AA7B00">
      <w:pPr>
        <w:tabs>
          <w:tab w:val="left" w:pos="284"/>
          <w:tab w:val="left" w:pos="8931"/>
        </w:tabs>
        <w:spacing w:after="0" w:line="240" w:lineRule="auto"/>
        <w:ind w:right="-1" w:hanging="426"/>
        <w:jc w:val="right"/>
        <w:rPr>
          <w:rFonts w:ascii="Times New Roman" w:hAnsi="Times New Roman"/>
          <w:b/>
          <w:color w:val="000000"/>
          <w:sz w:val="24"/>
          <w:szCs w:val="28"/>
          <w:lang w:val="ro-MD"/>
        </w:rPr>
      </w:pPr>
      <w:r w:rsidRPr="00AA7B00">
        <w:rPr>
          <w:rFonts w:ascii="Times New Roman" w:hAnsi="Times New Roman"/>
          <w:b/>
          <w:color w:val="000000"/>
          <w:sz w:val="24"/>
          <w:szCs w:val="28"/>
          <w:lang w:val="ro-MD"/>
        </w:rPr>
        <w:t>PREȘEDINTE</w:t>
      </w:r>
    </w:p>
    <w:p w:rsidR="00AC6BB2" w:rsidRPr="00AA7B00" w:rsidRDefault="00AC6BB2" w:rsidP="00AA7B00">
      <w:pPr>
        <w:spacing w:after="0" w:line="240" w:lineRule="auto"/>
        <w:jc w:val="right"/>
        <w:rPr>
          <w:rFonts w:ascii="Times New Roman" w:eastAsia="Times New Roman" w:hAnsi="Times New Roman" w:cs="Times New Roman"/>
          <w:b/>
          <w:sz w:val="24"/>
          <w:szCs w:val="28"/>
          <w:lang w:val="ro-MD"/>
        </w:rPr>
      </w:pPr>
      <w:r w:rsidRPr="00AA7B00">
        <w:rPr>
          <w:rFonts w:ascii="Times New Roman" w:eastAsia="Times New Roman" w:hAnsi="Times New Roman" w:cs="Times New Roman"/>
          <w:b/>
          <w:sz w:val="24"/>
          <w:szCs w:val="28"/>
          <w:lang w:val="ro-MD"/>
        </w:rPr>
        <w:lastRenderedPageBreak/>
        <w:t>Anexă</w:t>
      </w:r>
    </w:p>
    <w:p w:rsidR="00F04B2A" w:rsidRPr="00AA7B00" w:rsidRDefault="00AC6BB2" w:rsidP="00AA7B00">
      <w:pPr>
        <w:spacing w:after="0" w:line="240" w:lineRule="auto"/>
        <w:jc w:val="right"/>
        <w:rPr>
          <w:rFonts w:ascii="Times New Roman" w:eastAsia="Times New Roman" w:hAnsi="Times New Roman" w:cs="Times New Roman"/>
          <w:b/>
          <w:sz w:val="24"/>
          <w:szCs w:val="28"/>
          <w:lang w:val="ro-MD"/>
        </w:rPr>
      </w:pPr>
      <w:r w:rsidRPr="00AA7B00">
        <w:rPr>
          <w:rFonts w:ascii="Times New Roman" w:eastAsia="Times New Roman" w:hAnsi="Times New Roman" w:cs="Times New Roman"/>
          <w:b/>
          <w:sz w:val="24"/>
          <w:szCs w:val="28"/>
          <w:lang w:val="ro-MD"/>
        </w:rPr>
        <w:t>la Hotăr</w:t>
      </w:r>
      <w:r w:rsidR="00CA309E" w:rsidRPr="00AA7B00">
        <w:rPr>
          <w:rFonts w:ascii="Times New Roman" w:eastAsia="Times New Roman" w:hAnsi="Times New Roman" w:cs="Times New Roman"/>
          <w:b/>
          <w:sz w:val="24"/>
          <w:szCs w:val="28"/>
          <w:lang w:val="ro-MD"/>
        </w:rPr>
        <w:t>â</w:t>
      </w:r>
      <w:r w:rsidRPr="00AA7B00">
        <w:rPr>
          <w:rFonts w:ascii="Times New Roman" w:eastAsia="Times New Roman" w:hAnsi="Times New Roman" w:cs="Times New Roman"/>
          <w:b/>
          <w:sz w:val="24"/>
          <w:szCs w:val="28"/>
          <w:lang w:val="ro-MD"/>
        </w:rPr>
        <w:t xml:space="preserve">rea </w:t>
      </w:r>
    </w:p>
    <w:p w:rsidR="00AC6BB2" w:rsidRPr="00AA7B00" w:rsidRDefault="00AC6BB2" w:rsidP="00AA7B00">
      <w:pPr>
        <w:spacing w:after="0" w:line="240" w:lineRule="auto"/>
        <w:jc w:val="right"/>
        <w:rPr>
          <w:rFonts w:ascii="Times New Roman" w:eastAsia="Times New Roman" w:hAnsi="Times New Roman" w:cs="Times New Roman"/>
          <w:b/>
          <w:sz w:val="24"/>
          <w:szCs w:val="28"/>
          <w:lang w:val="ro-MD"/>
        </w:rPr>
      </w:pPr>
      <w:r w:rsidRPr="00AA7B00">
        <w:rPr>
          <w:rFonts w:ascii="Times New Roman" w:eastAsia="Times New Roman" w:hAnsi="Times New Roman" w:cs="Times New Roman"/>
          <w:b/>
          <w:sz w:val="24"/>
          <w:szCs w:val="28"/>
          <w:lang w:val="ro-MD"/>
        </w:rPr>
        <w:t>Comisiei</w:t>
      </w:r>
      <w:r w:rsidR="00F04B2A" w:rsidRPr="00AA7B00">
        <w:rPr>
          <w:rFonts w:ascii="Times New Roman" w:eastAsia="Times New Roman" w:hAnsi="Times New Roman" w:cs="Times New Roman"/>
          <w:b/>
          <w:sz w:val="24"/>
          <w:szCs w:val="28"/>
          <w:lang w:val="ro-MD"/>
        </w:rPr>
        <w:t xml:space="preserve"> </w:t>
      </w:r>
      <w:r w:rsidRPr="00AA7B00">
        <w:rPr>
          <w:rFonts w:ascii="Times New Roman" w:eastAsia="Times New Roman" w:hAnsi="Times New Roman" w:cs="Times New Roman"/>
          <w:b/>
          <w:sz w:val="24"/>
          <w:szCs w:val="28"/>
          <w:lang w:val="ro-MD"/>
        </w:rPr>
        <w:t>Naţionale a Pieţei Financiare</w:t>
      </w:r>
    </w:p>
    <w:p w:rsidR="00AC6BB2" w:rsidRPr="00AA7B00" w:rsidRDefault="00AC6BB2" w:rsidP="00AA7B00">
      <w:pPr>
        <w:spacing w:after="0" w:line="240" w:lineRule="auto"/>
        <w:jc w:val="right"/>
        <w:rPr>
          <w:rFonts w:ascii="Times New Roman" w:eastAsia="Times New Roman" w:hAnsi="Times New Roman" w:cs="Times New Roman"/>
          <w:b/>
          <w:sz w:val="24"/>
          <w:szCs w:val="28"/>
          <w:lang w:val="ro-MD"/>
        </w:rPr>
      </w:pPr>
      <w:r w:rsidRPr="00AA7B00">
        <w:rPr>
          <w:rFonts w:ascii="Times New Roman" w:eastAsia="Times New Roman" w:hAnsi="Times New Roman" w:cs="Times New Roman"/>
          <w:b/>
          <w:sz w:val="24"/>
          <w:szCs w:val="28"/>
          <w:lang w:val="ro-MD"/>
        </w:rPr>
        <w:t>nr.</w:t>
      </w:r>
      <w:r w:rsidR="007803D8" w:rsidRPr="00AA7B00">
        <w:rPr>
          <w:rFonts w:ascii="Times New Roman" w:eastAsia="Times New Roman" w:hAnsi="Times New Roman" w:cs="Times New Roman"/>
          <w:b/>
          <w:sz w:val="24"/>
          <w:szCs w:val="28"/>
          <w:lang w:val="ro-MD"/>
        </w:rPr>
        <w:t>____</w:t>
      </w:r>
      <w:r w:rsidRPr="00AA7B00">
        <w:rPr>
          <w:rFonts w:ascii="Times New Roman" w:eastAsia="Times New Roman" w:hAnsi="Times New Roman" w:cs="Times New Roman"/>
          <w:b/>
          <w:sz w:val="24"/>
          <w:szCs w:val="28"/>
          <w:lang w:val="ro-MD"/>
        </w:rPr>
        <w:t xml:space="preserve"> din </w:t>
      </w:r>
      <w:r w:rsidR="007803D8" w:rsidRPr="00AA7B00">
        <w:rPr>
          <w:rFonts w:ascii="Times New Roman" w:eastAsia="Times New Roman" w:hAnsi="Times New Roman" w:cs="Times New Roman"/>
          <w:b/>
          <w:sz w:val="24"/>
          <w:szCs w:val="28"/>
          <w:lang w:val="ro-MD"/>
        </w:rPr>
        <w:t>__________</w:t>
      </w:r>
      <w:r w:rsidRPr="00AA7B00">
        <w:rPr>
          <w:rFonts w:ascii="Times New Roman" w:eastAsia="Times New Roman" w:hAnsi="Times New Roman" w:cs="Times New Roman"/>
          <w:b/>
          <w:sz w:val="24"/>
          <w:szCs w:val="28"/>
          <w:lang w:val="ro-MD"/>
        </w:rPr>
        <w:t xml:space="preserve"> 20</w:t>
      </w:r>
      <w:r w:rsidR="007803D8" w:rsidRPr="00AA7B00">
        <w:rPr>
          <w:rFonts w:ascii="Times New Roman" w:eastAsia="Times New Roman" w:hAnsi="Times New Roman" w:cs="Times New Roman"/>
          <w:b/>
          <w:sz w:val="24"/>
          <w:szCs w:val="28"/>
          <w:lang w:val="ro-MD"/>
        </w:rPr>
        <w:t>25</w:t>
      </w:r>
    </w:p>
    <w:p w:rsidR="00AC6BB2" w:rsidRPr="00AA7B00" w:rsidRDefault="00AC6BB2"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bCs/>
          <w:sz w:val="28"/>
          <w:szCs w:val="28"/>
          <w:lang w:val="ro-MD"/>
        </w:rPr>
        <w:t> </w:t>
      </w:r>
    </w:p>
    <w:p w:rsidR="00FC1B08" w:rsidRPr="00AA7B00" w:rsidRDefault="00FC1B08"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bCs/>
          <w:sz w:val="28"/>
          <w:szCs w:val="28"/>
          <w:lang w:val="ro-MD"/>
        </w:rPr>
        <w:t>CUANTUMUL</w:t>
      </w:r>
    </w:p>
    <w:p w:rsidR="00AC6BB2" w:rsidRPr="00AA7B00" w:rsidRDefault="00F6208C"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bCs/>
          <w:sz w:val="28"/>
          <w:szCs w:val="28"/>
          <w:lang w:val="ro-MD"/>
        </w:rPr>
        <w:t>maxim al taxelor</w:t>
      </w:r>
      <w:r w:rsidR="00FC1B08" w:rsidRPr="00AA7B00">
        <w:rPr>
          <w:rFonts w:ascii="Times New Roman" w:eastAsia="Times New Roman" w:hAnsi="Times New Roman" w:cs="Times New Roman"/>
          <w:b/>
          <w:bCs/>
          <w:sz w:val="28"/>
          <w:szCs w:val="28"/>
          <w:lang w:val="ro-MD"/>
        </w:rPr>
        <w:t xml:space="preserve"> </w:t>
      </w:r>
      <w:r w:rsidRPr="00AA7B00">
        <w:rPr>
          <w:rFonts w:ascii="Times New Roman" w:eastAsia="Times New Roman" w:hAnsi="Times New Roman" w:cs="Times New Roman"/>
          <w:b/>
          <w:bCs/>
          <w:sz w:val="28"/>
          <w:szCs w:val="28"/>
          <w:lang w:val="ro-MD"/>
        </w:rPr>
        <w:t xml:space="preserve">pentru </w:t>
      </w:r>
      <w:r w:rsidR="00AC6BB2" w:rsidRPr="00AA7B00">
        <w:rPr>
          <w:rFonts w:ascii="Times New Roman" w:eastAsia="Times New Roman" w:hAnsi="Times New Roman" w:cs="Times New Roman"/>
          <w:b/>
          <w:bCs/>
          <w:sz w:val="28"/>
          <w:szCs w:val="28"/>
          <w:lang w:val="ro-MD"/>
        </w:rPr>
        <w:t>serviciil</w:t>
      </w:r>
      <w:r w:rsidRPr="00AA7B00">
        <w:rPr>
          <w:rFonts w:ascii="Times New Roman" w:eastAsia="Times New Roman" w:hAnsi="Times New Roman" w:cs="Times New Roman"/>
          <w:b/>
          <w:bCs/>
          <w:sz w:val="28"/>
          <w:szCs w:val="28"/>
          <w:lang w:val="ro-MD"/>
        </w:rPr>
        <w:t xml:space="preserve">e </w:t>
      </w:r>
      <w:r w:rsidR="00AC6BB2" w:rsidRPr="00AA7B00">
        <w:rPr>
          <w:rFonts w:ascii="Times New Roman" w:eastAsia="Times New Roman" w:hAnsi="Times New Roman" w:cs="Times New Roman"/>
          <w:b/>
          <w:bCs/>
          <w:sz w:val="28"/>
          <w:szCs w:val="28"/>
          <w:lang w:val="ro-MD"/>
        </w:rPr>
        <w:t>prestate de către societate</w:t>
      </w:r>
      <w:r w:rsidR="00C84113" w:rsidRPr="00AA7B00">
        <w:rPr>
          <w:rFonts w:ascii="Times New Roman" w:eastAsia="Times New Roman" w:hAnsi="Times New Roman" w:cs="Times New Roman"/>
          <w:b/>
          <w:bCs/>
          <w:sz w:val="28"/>
          <w:szCs w:val="28"/>
          <w:lang w:val="ro-MD"/>
        </w:rPr>
        <w:t>a</w:t>
      </w:r>
      <w:r w:rsidR="00AC6BB2" w:rsidRPr="00AA7B00">
        <w:rPr>
          <w:rFonts w:ascii="Times New Roman" w:eastAsia="Times New Roman" w:hAnsi="Times New Roman" w:cs="Times New Roman"/>
          <w:b/>
          <w:bCs/>
          <w:sz w:val="28"/>
          <w:szCs w:val="28"/>
          <w:lang w:val="ro-MD"/>
        </w:rPr>
        <w:t xml:space="preserve"> de registru</w:t>
      </w:r>
      <w:r w:rsidR="00734289" w:rsidRPr="00AA7B00">
        <w:rPr>
          <w:rFonts w:ascii="Times New Roman" w:eastAsia="Times New Roman" w:hAnsi="Times New Roman" w:cs="Times New Roman"/>
          <w:b/>
          <w:bCs/>
          <w:sz w:val="28"/>
          <w:szCs w:val="28"/>
          <w:lang w:val="ro-MD"/>
        </w:rPr>
        <w:t xml:space="preserve"> </w:t>
      </w:r>
    </w:p>
    <w:p w:rsidR="00AC6BB2" w:rsidRPr="00AA7B00" w:rsidRDefault="00AC6BB2"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bCs/>
          <w:sz w:val="28"/>
          <w:szCs w:val="28"/>
          <w:lang w:val="ro-MD"/>
        </w:rPr>
        <w:t> </w:t>
      </w:r>
    </w:p>
    <w:p w:rsidR="00F04B2A" w:rsidRPr="00AA7B00" w:rsidRDefault="00F6208C"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bCs/>
          <w:sz w:val="28"/>
          <w:szCs w:val="28"/>
          <w:lang w:val="ro-MD"/>
        </w:rPr>
        <w:t xml:space="preserve">I. </w:t>
      </w:r>
      <w:r w:rsidR="00FC1B08" w:rsidRPr="00AA7B00">
        <w:rPr>
          <w:rFonts w:ascii="Times New Roman" w:eastAsia="Times New Roman" w:hAnsi="Times New Roman" w:cs="Times New Roman"/>
          <w:b/>
          <w:bCs/>
          <w:sz w:val="28"/>
          <w:szCs w:val="28"/>
          <w:lang w:val="ro-MD"/>
        </w:rPr>
        <w:t>Cuantumul maxim al taxelor p</w:t>
      </w:r>
      <w:r w:rsidRPr="00AA7B00">
        <w:rPr>
          <w:rFonts w:ascii="Times New Roman" w:eastAsia="Times New Roman" w:hAnsi="Times New Roman" w:cs="Times New Roman"/>
          <w:b/>
          <w:bCs/>
          <w:sz w:val="28"/>
          <w:szCs w:val="28"/>
          <w:lang w:val="ro-MD"/>
        </w:rPr>
        <w:t xml:space="preserve">entru </w:t>
      </w:r>
    </w:p>
    <w:p w:rsidR="00AC6BB2" w:rsidRPr="00AA7B00" w:rsidRDefault="00F6208C" w:rsidP="00AA7B00">
      <w:pPr>
        <w:spacing w:after="0" w:line="240" w:lineRule="auto"/>
        <w:jc w:val="center"/>
        <w:rPr>
          <w:sz w:val="28"/>
          <w:szCs w:val="28"/>
          <w:lang w:val="ro-MD"/>
        </w:rPr>
      </w:pPr>
      <w:r w:rsidRPr="00AA7B00">
        <w:rPr>
          <w:rFonts w:ascii="Times New Roman" w:eastAsia="Times New Roman" w:hAnsi="Times New Roman" w:cs="Times New Roman"/>
          <w:b/>
          <w:bCs/>
          <w:sz w:val="28"/>
          <w:szCs w:val="28"/>
          <w:lang w:val="ro-MD"/>
        </w:rPr>
        <w:t>serviciile acordate</w:t>
      </w:r>
      <w:r w:rsidRPr="00AA7B00" w:rsidDel="00734289">
        <w:rPr>
          <w:rFonts w:ascii="Times New Roman" w:eastAsia="Times New Roman" w:hAnsi="Times New Roman" w:cs="Times New Roman"/>
          <w:b/>
          <w:bCs/>
          <w:sz w:val="28"/>
          <w:szCs w:val="28"/>
          <w:lang w:val="ro-MD"/>
        </w:rPr>
        <w:t xml:space="preserve"> </w:t>
      </w:r>
      <w:r w:rsidRPr="00AA7B00">
        <w:rPr>
          <w:rFonts w:ascii="Times New Roman" w:eastAsia="Times New Roman" w:hAnsi="Times New Roman" w:cs="Times New Roman"/>
          <w:b/>
          <w:bCs/>
          <w:sz w:val="28"/>
          <w:szCs w:val="28"/>
          <w:lang w:val="ro-MD"/>
        </w:rPr>
        <w:t xml:space="preserve">persoanelor înregistrate în registrul </w:t>
      </w:r>
      <w:r w:rsidR="00777D19" w:rsidRPr="00AA7B00">
        <w:rPr>
          <w:rFonts w:ascii="Times New Roman" w:eastAsia="Times New Roman" w:hAnsi="Times New Roman" w:cs="Times New Roman"/>
          <w:b/>
          <w:bCs/>
          <w:sz w:val="28"/>
          <w:szCs w:val="28"/>
          <w:lang w:val="ro-MD"/>
        </w:rPr>
        <w:t>acționarilor</w:t>
      </w:r>
    </w:p>
    <w:p w:rsidR="00AC6BB2" w:rsidRPr="00AA7B00" w:rsidRDefault="00AC6BB2"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Pr="00AA7B00">
        <w:rPr>
          <w:rFonts w:ascii="Times New Roman" w:eastAsia="Times New Roman" w:hAnsi="Times New Roman" w:cs="Times New Roman"/>
          <w:sz w:val="28"/>
          <w:szCs w:val="28"/>
          <w:lang w:val="ro-MD"/>
        </w:rPr>
        <w:t xml:space="preserve"> Pentru o operaţiune de </w:t>
      </w:r>
      <w:r w:rsidR="00601FEE" w:rsidRPr="00AA7B00">
        <w:rPr>
          <w:rFonts w:ascii="Times New Roman" w:eastAsia="Times New Roman" w:hAnsi="Times New Roman" w:cs="Times New Roman"/>
          <w:sz w:val="28"/>
          <w:szCs w:val="28"/>
          <w:lang w:val="ro-MD"/>
        </w:rPr>
        <w:t>aplicare/ridicare a restricțiilor</w:t>
      </w:r>
      <w:r w:rsidR="00777D19" w:rsidRPr="00AA7B00">
        <w:rPr>
          <w:rFonts w:ascii="Times New Roman" w:eastAsia="Times New Roman" w:hAnsi="Times New Roman" w:cs="Times New Roman"/>
          <w:sz w:val="28"/>
          <w:szCs w:val="28"/>
          <w:lang w:val="ro-MD"/>
        </w:rPr>
        <w:t>/gajului</w:t>
      </w:r>
      <w:r w:rsidRPr="00AA7B00">
        <w:rPr>
          <w:rFonts w:ascii="Times New Roman" w:eastAsia="Times New Roman" w:hAnsi="Times New Roman" w:cs="Times New Roman"/>
          <w:sz w:val="28"/>
          <w:szCs w:val="28"/>
          <w:lang w:val="ro-MD"/>
        </w:rPr>
        <w:t xml:space="preserve"> a</w:t>
      </w:r>
      <w:r w:rsidR="00601FEE" w:rsidRPr="00AA7B00">
        <w:rPr>
          <w:rFonts w:ascii="Times New Roman" w:eastAsia="Times New Roman" w:hAnsi="Times New Roman" w:cs="Times New Roman"/>
          <w:sz w:val="28"/>
          <w:szCs w:val="28"/>
          <w:lang w:val="ro-MD"/>
        </w:rPr>
        <w:t>supra</w:t>
      </w:r>
      <w:r w:rsidRPr="00AA7B00">
        <w:rPr>
          <w:rFonts w:ascii="Times New Roman" w:eastAsia="Times New Roman" w:hAnsi="Times New Roman" w:cs="Times New Roman"/>
          <w:sz w:val="28"/>
          <w:szCs w:val="28"/>
          <w:lang w:val="ro-MD"/>
        </w:rPr>
        <w:t xml:space="preserve"> </w:t>
      </w:r>
      <w:r w:rsidR="00777D19" w:rsidRPr="00AA7B00">
        <w:rPr>
          <w:rFonts w:ascii="Times New Roman" w:eastAsia="Times New Roman" w:hAnsi="Times New Roman" w:cs="Times New Roman"/>
          <w:sz w:val="28"/>
          <w:szCs w:val="28"/>
          <w:lang w:val="ro-MD"/>
        </w:rPr>
        <w:t>acțiunilor</w:t>
      </w:r>
      <w:r w:rsidRPr="00AA7B00">
        <w:rPr>
          <w:rFonts w:ascii="Times New Roman" w:eastAsia="Times New Roman" w:hAnsi="Times New Roman" w:cs="Times New Roman"/>
          <w:sz w:val="28"/>
          <w:szCs w:val="28"/>
          <w:lang w:val="ro-MD"/>
        </w:rPr>
        <w:t xml:space="preserve"> </w:t>
      </w:r>
      <w:r w:rsidR="00526974" w:rsidRPr="00AA7B00">
        <w:rPr>
          <w:rFonts w:ascii="Times New Roman" w:eastAsia="Times New Roman" w:hAnsi="Times New Roman" w:cs="Times New Roman"/>
          <w:sz w:val="28"/>
          <w:szCs w:val="28"/>
          <w:lang w:val="ro-MD"/>
        </w:rPr>
        <w:t xml:space="preserve">în </w:t>
      </w:r>
      <w:r w:rsidR="00CF5FA5" w:rsidRPr="00AA7B00">
        <w:rPr>
          <w:rFonts w:ascii="Times New Roman" w:eastAsia="Times New Roman" w:hAnsi="Times New Roman" w:cs="Times New Roman"/>
          <w:sz w:val="28"/>
          <w:szCs w:val="28"/>
          <w:lang w:val="ro-MD"/>
        </w:rPr>
        <w:t xml:space="preserve">Sistemul informaţional de evidenţă a drepturilor de proprietate asupra acţiunilor (în continuare </w:t>
      </w:r>
      <w:r w:rsidR="00FC1B08" w:rsidRPr="00AA7B00">
        <w:rPr>
          <w:rFonts w:ascii="Times New Roman" w:eastAsia="Times New Roman" w:hAnsi="Times New Roman" w:cs="Times New Roman"/>
          <w:sz w:val="28"/>
          <w:szCs w:val="28"/>
          <w:lang w:val="ro-MD"/>
        </w:rPr>
        <w:t>–</w:t>
      </w:r>
      <w:r w:rsidR="00CF5FA5" w:rsidRPr="00AA7B00">
        <w:rPr>
          <w:rFonts w:ascii="Times New Roman" w:eastAsia="Times New Roman" w:hAnsi="Times New Roman" w:cs="Times New Roman"/>
          <w:sz w:val="28"/>
          <w:szCs w:val="28"/>
          <w:lang w:val="ro-MD"/>
        </w:rPr>
        <w:t xml:space="preserve"> Sistemul informațional</w:t>
      </w:r>
      <w:r w:rsidR="00E04D6E" w:rsidRPr="00AA7B00">
        <w:rPr>
          <w:rFonts w:ascii="Times New Roman" w:eastAsia="Times New Roman" w:hAnsi="Times New Roman" w:cs="Times New Roman"/>
          <w:sz w:val="28"/>
          <w:szCs w:val="28"/>
          <w:lang w:val="ro-MD"/>
        </w:rPr>
        <w:t>/</w:t>
      </w:r>
      <w:r w:rsidR="00A02934" w:rsidRPr="00AA7B00">
        <w:rPr>
          <w:rFonts w:ascii="Times New Roman" w:eastAsia="Times New Roman" w:hAnsi="Times New Roman" w:cs="Times New Roman"/>
          <w:sz w:val="28"/>
          <w:szCs w:val="28"/>
          <w:lang w:val="ro-MD"/>
        </w:rPr>
        <w:t>registrul acționarilor</w:t>
      </w:r>
      <w:r w:rsidR="00CF5FA5" w:rsidRPr="00AA7B00">
        <w:rPr>
          <w:rFonts w:ascii="Times New Roman" w:eastAsia="Times New Roman" w:hAnsi="Times New Roman" w:cs="Times New Roman"/>
          <w:sz w:val="28"/>
          <w:szCs w:val="28"/>
          <w:lang w:val="ro-MD"/>
        </w:rPr>
        <w:t>)</w:t>
      </w:r>
      <w:r w:rsidR="00526974"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rPr>
        <w:t xml:space="preserve"> în alte cazuri dec</w:t>
      </w:r>
      <w:r w:rsidR="00526974" w:rsidRPr="00AA7B00">
        <w:rPr>
          <w:rFonts w:ascii="Times New Roman" w:eastAsia="Times New Roman" w:hAnsi="Times New Roman" w:cs="Times New Roman"/>
          <w:sz w:val="28"/>
          <w:szCs w:val="28"/>
          <w:lang w:val="ro-MD"/>
        </w:rPr>
        <w:t>â</w:t>
      </w:r>
      <w:r w:rsidRPr="00AA7B00">
        <w:rPr>
          <w:rFonts w:ascii="Times New Roman" w:eastAsia="Times New Roman" w:hAnsi="Times New Roman" w:cs="Times New Roman"/>
          <w:sz w:val="28"/>
          <w:szCs w:val="28"/>
          <w:lang w:val="ro-MD"/>
        </w:rPr>
        <w:t>t la cererea Comisiei Naţionale a Pieţei Financiare</w:t>
      </w:r>
      <w:r w:rsidR="00FC1B08" w:rsidRPr="00AA7B00">
        <w:rPr>
          <w:rFonts w:ascii="Times New Roman" w:eastAsia="Times New Roman" w:hAnsi="Times New Roman" w:cs="Times New Roman"/>
          <w:sz w:val="28"/>
          <w:szCs w:val="28"/>
          <w:lang w:val="ro-MD"/>
        </w:rPr>
        <w:t xml:space="preserve"> (în continuare – CNPF)</w:t>
      </w:r>
      <w:r w:rsidRPr="00AA7B00">
        <w:rPr>
          <w:rFonts w:ascii="Times New Roman" w:eastAsia="Times New Roman" w:hAnsi="Times New Roman" w:cs="Times New Roman"/>
          <w:sz w:val="28"/>
          <w:szCs w:val="28"/>
          <w:lang w:val="ro-MD"/>
        </w:rPr>
        <w:t xml:space="preserve">, </w:t>
      </w:r>
      <w:r w:rsidR="00FC1B08" w:rsidRPr="00AA7B00">
        <w:rPr>
          <w:rFonts w:ascii="Times New Roman" w:eastAsia="Times New Roman" w:hAnsi="Times New Roman" w:cs="Times New Roman"/>
          <w:sz w:val="28"/>
          <w:szCs w:val="28"/>
          <w:lang w:val="ro-MD"/>
        </w:rPr>
        <w:t xml:space="preserve">a </w:t>
      </w:r>
      <w:r w:rsidRPr="00AA7B00">
        <w:rPr>
          <w:rFonts w:ascii="Times New Roman" w:eastAsia="Times New Roman" w:hAnsi="Times New Roman" w:cs="Times New Roman"/>
          <w:sz w:val="28"/>
          <w:szCs w:val="28"/>
          <w:lang w:val="ro-MD"/>
        </w:rPr>
        <w:t xml:space="preserve">organelor de drept, </w:t>
      </w:r>
      <w:r w:rsidR="00FC1B08" w:rsidRPr="00AA7B00">
        <w:rPr>
          <w:rFonts w:ascii="Times New Roman" w:eastAsia="Times New Roman" w:hAnsi="Times New Roman" w:cs="Times New Roman"/>
          <w:sz w:val="28"/>
          <w:szCs w:val="28"/>
          <w:lang w:val="ro-MD"/>
        </w:rPr>
        <w:t xml:space="preserve">a </w:t>
      </w:r>
      <w:r w:rsidRPr="00AA7B00">
        <w:rPr>
          <w:rFonts w:ascii="Times New Roman" w:eastAsia="Times New Roman" w:hAnsi="Times New Roman" w:cs="Times New Roman"/>
          <w:sz w:val="28"/>
          <w:szCs w:val="28"/>
          <w:lang w:val="ro-MD"/>
        </w:rPr>
        <w:t>organelor fiscale</w:t>
      </w:r>
      <w:r w:rsidR="00FC1B08" w:rsidRPr="00AA7B00">
        <w:rPr>
          <w:rFonts w:ascii="Times New Roman" w:eastAsia="Times New Roman" w:hAnsi="Times New Roman" w:cs="Times New Roman"/>
          <w:sz w:val="28"/>
          <w:szCs w:val="28"/>
          <w:lang w:val="ro-MD"/>
        </w:rPr>
        <w:t xml:space="preserve"> sau a</w:t>
      </w:r>
      <w:r w:rsidRPr="00AA7B00">
        <w:rPr>
          <w:rFonts w:ascii="Times New Roman" w:eastAsia="Times New Roman" w:hAnsi="Times New Roman" w:cs="Times New Roman"/>
          <w:sz w:val="28"/>
          <w:szCs w:val="28"/>
          <w:lang w:val="ro-MD"/>
        </w:rPr>
        <w:t xml:space="preserve"> altor persoane împuternicite de </w:t>
      </w:r>
      <w:r w:rsidR="009D1F2B" w:rsidRPr="00AA7B00">
        <w:rPr>
          <w:rFonts w:ascii="Times New Roman" w:eastAsia="Times New Roman" w:hAnsi="Times New Roman" w:cs="Times New Roman"/>
          <w:sz w:val="28"/>
          <w:szCs w:val="28"/>
          <w:lang w:val="ro-MD"/>
        </w:rPr>
        <w:t>legislație</w:t>
      </w:r>
      <w:r w:rsidR="00FC1B08"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rPr>
        <w:t xml:space="preserve"> se stabileşte un preţ de p</w:t>
      </w:r>
      <w:r w:rsidR="00526974" w:rsidRPr="00AA7B00">
        <w:rPr>
          <w:rFonts w:ascii="Times New Roman" w:eastAsia="Times New Roman" w:hAnsi="Times New Roman" w:cs="Times New Roman"/>
          <w:sz w:val="28"/>
          <w:szCs w:val="28"/>
          <w:lang w:val="ro-MD"/>
        </w:rPr>
        <w:t>â</w:t>
      </w:r>
      <w:r w:rsidRPr="00AA7B00">
        <w:rPr>
          <w:rFonts w:ascii="Times New Roman" w:eastAsia="Times New Roman" w:hAnsi="Times New Roman" w:cs="Times New Roman"/>
          <w:sz w:val="28"/>
          <w:szCs w:val="28"/>
          <w:lang w:val="ro-MD"/>
        </w:rPr>
        <w:t xml:space="preserve">nă la </w:t>
      </w:r>
      <w:r w:rsidR="00CA309E" w:rsidRPr="00AA7B00">
        <w:rPr>
          <w:rFonts w:ascii="Times New Roman" w:eastAsia="Times New Roman" w:hAnsi="Times New Roman" w:cs="Times New Roman"/>
          <w:sz w:val="28"/>
          <w:szCs w:val="28"/>
          <w:lang w:val="ro-MD"/>
        </w:rPr>
        <w:t>5</w:t>
      </w:r>
      <w:r w:rsidR="00477FFE" w:rsidRPr="00AA7B00">
        <w:rPr>
          <w:rFonts w:ascii="Times New Roman" w:eastAsia="Times New Roman" w:hAnsi="Times New Roman" w:cs="Times New Roman"/>
          <w:sz w:val="28"/>
          <w:szCs w:val="28"/>
          <w:lang w:val="ro-MD"/>
        </w:rPr>
        <w:t xml:space="preserve">0 </w:t>
      </w:r>
      <w:r w:rsidRPr="00AA7B00">
        <w:rPr>
          <w:rFonts w:ascii="Times New Roman" w:eastAsia="Times New Roman" w:hAnsi="Times New Roman" w:cs="Times New Roman"/>
          <w:sz w:val="28"/>
          <w:szCs w:val="28"/>
          <w:lang w:val="ro-MD"/>
        </w:rPr>
        <w:t xml:space="preserve">lei. </w:t>
      </w:r>
      <w:r w:rsidR="00777D19" w:rsidRPr="00AA7B00">
        <w:rPr>
          <w:rFonts w:ascii="Times New Roman" w:eastAsia="Times New Roman" w:hAnsi="Times New Roman" w:cs="Times New Roman"/>
          <w:sz w:val="28"/>
          <w:szCs w:val="28"/>
          <w:lang w:val="ro-MD"/>
        </w:rPr>
        <w:t>Gajul se aplică în temeiul extrasului din Registrul garanțiilor reale mobile al Ministerului Justiției.</w:t>
      </w:r>
    </w:p>
    <w:p w:rsidR="00171FB4" w:rsidRPr="00AA7B00" w:rsidRDefault="00AC6BB2"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2.</w:t>
      </w:r>
      <w:r w:rsidRPr="00AA7B00">
        <w:rPr>
          <w:rFonts w:ascii="Times New Roman" w:eastAsia="Times New Roman" w:hAnsi="Times New Roman" w:cs="Times New Roman"/>
          <w:sz w:val="28"/>
          <w:szCs w:val="28"/>
          <w:lang w:val="ro-MD"/>
        </w:rPr>
        <w:t xml:space="preserve"> </w:t>
      </w:r>
      <w:r w:rsidR="00171FB4" w:rsidRPr="00AA7B00">
        <w:rPr>
          <w:rFonts w:ascii="Times New Roman" w:eastAsia="Times New Roman" w:hAnsi="Times New Roman" w:cs="Times New Roman"/>
          <w:sz w:val="28"/>
          <w:szCs w:val="28"/>
          <w:lang w:val="ro-MD"/>
        </w:rPr>
        <w:t xml:space="preserve">Pentru o operaţiune de modificare a datelor din contul personal </w:t>
      </w:r>
      <w:r w:rsidR="00777D19" w:rsidRPr="00AA7B00">
        <w:rPr>
          <w:rFonts w:ascii="Times New Roman" w:eastAsia="Times New Roman" w:hAnsi="Times New Roman" w:cs="Times New Roman"/>
          <w:sz w:val="28"/>
          <w:szCs w:val="28"/>
          <w:lang w:val="ro-MD"/>
        </w:rPr>
        <w:t>al acționarului</w:t>
      </w:r>
      <w:r w:rsidR="00171FB4" w:rsidRPr="00AA7B00">
        <w:rPr>
          <w:rFonts w:ascii="Times New Roman" w:eastAsia="Times New Roman" w:hAnsi="Times New Roman" w:cs="Times New Roman"/>
          <w:sz w:val="28"/>
          <w:szCs w:val="28"/>
          <w:lang w:val="ro-MD"/>
        </w:rPr>
        <w:t xml:space="preserve"> (schimbarea denumirii</w:t>
      </w:r>
      <w:r w:rsidR="00777D19" w:rsidRPr="00AA7B00">
        <w:rPr>
          <w:rFonts w:ascii="Times New Roman" w:eastAsia="Times New Roman" w:hAnsi="Times New Roman" w:cs="Times New Roman"/>
          <w:sz w:val="28"/>
          <w:szCs w:val="28"/>
          <w:lang w:val="ro-MD"/>
        </w:rPr>
        <w:t>/</w:t>
      </w:r>
      <w:r w:rsidR="00171FB4" w:rsidRPr="00AA7B00">
        <w:rPr>
          <w:rFonts w:ascii="Times New Roman" w:eastAsia="Times New Roman" w:hAnsi="Times New Roman" w:cs="Times New Roman"/>
          <w:sz w:val="28"/>
          <w:szCs w:val="28"/>
          <w:lang w:val="ro-MD"/>
        </w:rPr>
        <w:t xml:space="preserve">numelui, </w:t>
      </w:r>
      <w:r w:rsidR="00777D19" w:rsidRPr="00AA7B00">
        <w:rPr>
          <w:rFonts w:ascii="Times New Roman" w:eastAsia="Times New Roman" w:hAnsi="Times New Roman" w:cs="Times New Roman"/>
          <w:sz w:val="28"/>
          <w:szCs w:val="28"/>
          <w:lang w:val="ro-MD"/>
        </w:rPr>
        <w:t xml:space="preserve">a </w:t>
      </w:r>
      <w:r w:rsidR="00171FB4" w:rsidRPr="00AA7B00">
        <w:rPr>
          <w:rFonts w:ascii="Times New Roman" w:eastAsia="Times New Roman" w:hAnsi="Times New Roman" w:cs="Times New Roman"/>
          <w:sz w:val="28"/>
          <w:szCs w:val="28"/>
          <w:lang w:val="ro-MD"/>
        </w:rPr>
        <w:t xml:space="preserve">documentului de identitate, </w:t>
      </w:r>
      <w:r w:rsidR="00777D19" w:rsidRPr="00AA7B00">
        <w:rPr>
          <w:rFonts w:ascii="Times New Roman" w:eastAsia="Times New Roman" w:hAnsi="Times New Roman" w:cs="Times New Roman"/>
          <w:sz w:val="28"/>
          <w:szCs w:val="28"/>
          <w:lang w:val="ro-MD"/>
        </w:rPr>
        <w:t xml:space="preserve">a </w:t>
      </w:r>
      <w:r w:rsidR="00171FB4" w:rsidRPr="00AA7B00">
        <w:rPr>
          <w:rFonts w:ascii="Times New Roman" w:eastAsia="Times New Roman" w:hAnsi="Times New Roman" w:cs="Times New Roman"/>
          <w:sz w:val="28"/>
          <w:szCs w:val="28"/>
          <w:lang w:val="ro-MD"/>
        </w:rPr>
        <w:t>datelor banc</w:t>
      </w:r>
      <w:r w:rsidR="00D34A07" w:rsidRPr="00AA7B00">
        <w:rPr>
          <w:rFonts w:ascii="Times New Roman" w:eastAsia="Times New Roman" w:hAnsi="Times New Roman" w:cs="Times New Roman"/>
          <w:sz w:val="28"/>
          <w:szCs w:val="28"/>
          <w:lang w:val="ro-MD"/>
        </w:rPr>
        <w:t>are) se stabileşte un preţ de pâ</w:t>
      </w:r>
      <w:r w:rsidR="00171FB4" w:rsidRPr="00AA7B00">
        <w:rPr>
          <w:rFonts w:ascii="Times New Roman" w:eastAsia="Times New Roman" w:hAnsi="Times New Roman" w:cs="Times New Roman"/>
          <w:sz w:val="28"/>
          <w:szCs w:val="28"/>
          <w:lang w:val="ro-MD"/>
        </w:rPr>
        <w:t xml:space="preserve">nă la </w:t>
      </w:r>
      <w:r w:rsidR="00777D19" w:rsidRPr="00AA7B00">
        <w:rPr>
          <w:rFonts w:ascii="Times New Roman" w:eastAsia="Times New Roman" w:hAnsi="Times New Roman" w:cs="Times New Roman"/>
          <w:sz w:val="28"/>
          <w:szCs w:val="28"/>
          <w:lang w:val="ro-MD"/>
        </w:rPr>
        <w:t>3</w:t>
      </w:r>
      <w:r w:rsidR="00171FB4" w:rsidRPr="00AA7B00">
        <w:rPr>
          <w:rFonts w:ascii="Times New Roman" w:eastAsia="Times New Roman" w:hAnsi="Times New Roman" w:cs="Times New Roman"/>
          <w:sz w:val="28"/>
          <w:szCs w:val="28"/>
          <w:lang w:val="ro-MD"/>
        </w:rPr>
        <w:t>0 lei pentru persoana fizică şi de până la 100 lei pentru persoana juridică.</w:t>
      </w:r>
    </w:p>
    <w:p w:rsidR="00CA309E" w:rsidRPr="00AA7B00" w:rsidRDefault="00C0623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sz w:val="28"/>
          <w:szCs w:val="28"/>
          <w:lang w:val="ro-MD"/>
        </w:rPr>
        <w:t>3</w:t>
      </w:r>
      <w:r w:rsidR="00367A55" w:rsidRPr="00AA7B00">
        <w:rPr>
          <w:rFonts w:ascii="Times New Roman" w:eastAsia="Times New Roman" w:hAnsi="Times New Roman" w:cs="Times New Roman"/>
          <w:b/>
          <w:sz w:val="28"/>
          <w:szCs w:val="28"/>
          <w:lang w:val="ro-MD"/>
        </w:rPr>
        <w:t>.</w:t>
      </w:r>
      <w:r w:rsidR="00171FB4" w:rsidRPr="00AA7B00">
        <w:rPr>
          <w:rFonts w:ascii="Times New Roman" w:eastAsia="Times New Roman" w:hAnsi="Times New Roman" w:cs="Times New Roman"/>
          <w:sz w:val="28"/>
          <w:szCs w:val="28"/>
          <w:lang w:val="ro-MD"/>
        </w:rPr>
        <w:t xml:space="preserve"> </w:t>
      </w:r>
      <w:r w:rsidR="00AC6BB2" w:rsidRPr="00AA7B00">
        <w:rPr>
          <w:rFonts w:ascii="Times New Roman" w:eastAsia="Times New Roman" w:hAnsi="Times New Roman" w:cs="Times New Roman"/>
          <w:sz w:val="28"/>
          <w:szCs w:val="28"/>
          <w:lang w:val="ro-MD"/>
        </w:rPr>
        <w:t xml:space="preserve">Pentru înregistrarea transferului direct de proprietate asupra </w:t>
      </w:r>
      <w:r w:rsidR="0016628E" w:rsidRPr="00AA7B00">
        <w:rPr>
          <w:rFonts w:ascii="Times New Roman" w:eastAsia="Times New Roman" w:hAnsi="Times New Roman" w:cs="Times New Roman"/>
          <w:sz w:val="28"/>
          <w:szCs w:val="28"/>
          <w:lang w:val="ro-MD"/>
        </w:rPr>
        <w:t>acțiunilor</w:t>
      </w:r>
      <w:r w:rsidR="00CA309E" w:rsidRPr="00AA7B00">
        <w:rPr>
          <w:rFonts w:ascii="Times New Roman" w:eastAsia="Times New Roman" w:hAnsi="Times New Roman" w:cs="Times New Roman"/>
          <w:sz w:val="28"/>
          <w:szCs w:val="28"/>
          <w:lang w:val="ro-MD"/>
        </w:rPr>
        <w:t>:</w:t>
      </w:r>
    </w:p>
    <w:p w:rsidR="00CA309E" w:rsidRPr="00AA7B00" w:rsidRDefault="00C0623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3</w:t>
      </w:r>
      <w:r w:rsidR="00D34A07" w:rsidRPr="00AA7B00">
        <w:rPr>
          <w:rFonts w:ascii="Times New Roman" w:eastAsia="Times New Roman" w:hAnsi="Times New Roman" w:cs="Times New Roman"/>
          <w:sz w:val="28"/>
          <w:szCs w:val="28"/>
          <w:lang w:val="ro-MD"/>
        </w:rPr>
        <w:t>.1</w:t>
      </w:r>
      <w:r w:rsidR="00FC1B08" w:rsidRPr="00AA7B00">
        <w:rPr>
          <w:rFonts w:ascii="Times New Roman" w:eastAsia="Times New Roman" w:hAnsi="Times New Roman" w:cs="Times New Roman"/>
          <w:sz w:val="28"/>
          <w:szCs w:val="28"/>
          <w:lang w:val="ro-MD"/>
        </w:rPr>
        <w:t>.</w:t>
      </w:r>
      <w:r w:rsidR="00171FB4" w:rsidRPr="00AA7B00">
        <w:rPr>
          <w:rFonts w:ascii="Times New Roman" w:eastAsia="Times New Roman" w:hAnsi="Times New Roman" w:cs="Times New Roman"/>
          <w:sz w:val="28"/>
          <w:szCs w:val="28"/>
          <w:lang w:val="ro-MD"/>
        </w:rPr>
        <w:t xml:space="preserve"> </w:t>
      </w:r>
      <w:r w:rsidR="00CA309E" w:rsidRPr="00AA7B00">
        <w:rPr>
          <w:rFonts w:ascii="Times New Roman" w:eastAsia="Times New Roman" w:hAnsi="Times New Roman" w:cs="Times New Roman"/>
          <w:sz w:val="28"/>
          <w:szCs w:val="28"/>
          <w:lang w:val="ro-MD"/>
        </w:rPr>
        <w:t>în cazul donației între soți, rude, afini de gradul I și II inclusiv, se stabileşte un preţ de 0,2</w:t>
      </w:r>
      <w:r w:rsidR="00FC1B08" w:rsidRPr="00AA7B00">
        <w:rPr>
          <w:rFonts w:ascii="Times New Roman" w:eastAsia="Times New Roman" w:hAnsi="Times New Roman" w:cs="Times New Roman"/>
          <w:sz w:val="28"/>
          <w:szCs w:val="28"/>
          <w:lang w:val="ro-MD"/>
        </w:rPr>
        <w:t xml:space="preserve"> la sută </w:t>
      </w:r>
      <w:r w:rsidR="00CA309E" w:rsidRPr="00AA7B00">
        <w:rPr>
          <w:rFonts w:ascii="Times New Roman" w:eastAsia="Times New Roman" w:hAnsi="Times New Roman" w:cs="Times New Roman"/>
          <w:sz w:val="28"/>
          <w:szCs w:val="28"/>
          <w:lang w:val="ro-MD"/>
        </w:rPr>
        <w:t>de la valoarea cont</w:t>
      </w:r>
      <w:r w:rsidR="00D34A07" w:rsidRPr="00AA7B00">
        <w:rPr>
          <w:rFonts w:ascii="Times New Roman" w:eastAsia="Times New Roman" w:hAnsi="Times New Roman" w:cs="Times New Roman"/>
          <w:sz w:val="28"/>
          <w:szCs w:val="28"/>
          <w:lang w:val="ro-MD"/>
        </w:rPr>
        <w:t>ractului, dar nu mai puțin de 1</w:t>
      </w:r>
      <w:r w:rsidR="00CA309E" w:rsidRPr="00AA7B00">
        <w:rPr>
          <w:rFonts w:ascii="Times New Roman" w:eastAsia="Times New Roman" w:hAnsi="Times New Roman" w:cs="Times New Roman"/>
          <w:sz w:val="28"/>
          <w:szCs w:val="28"/>
          <w:lang w:val="ro-MD"/>
        </w:rPr>
        <w:t>0 lei și nu mai mult de 1</w:t>
      </w:r>
      <w:r w:rsidR="00FC1B08" w:rsidRPr="00AA7B00">
        <w:rPr>
          <w:rFonts w:ascii="Times New Roman" w:eastAsia="Times New Roman" w:hAnsi="Times New Roman" w:cs="Times New Roman"/>
          <w:sz w:val="28"/>
          <w:szCs w:val="28"/>
          <w:lang w:val="ro-MD"/>
        </w:rPr>
        <w:t xml:space="preserve"> </w:t>
      </w:r>
      <w:r w:rsidR="00CA309E" w:rsidRPr="00AA7B00">
        <w:rPr>
          <w:rFonts w:ascii="Times New Roman" w:eastAsia="Times New Roman" w:hAnsi="Times New Roman" w:cs="Times New Roman"/>
          <w:sz w:val="28"/>
          <w:szCs w:val="28"/>
          <w:lang w:val="ro-MD"/>
        </w:rPr>
        <w:t>000 lei de la donator</w:t>
      </w:r>
      <w:r w:rsidR="00171FB4" w:rsidRPr="00AA7B00">
        <w:rPr>
          <w:rFonts w:ascii="Times New Roman" w:eastAsia="Times New Roman" w:hAnsi="Times New Roman" w:cs="Times New Roman"/>
          <w:sz w:val="28"/>
          <w:szCs w:val="28"/>
          <w:lang w:val="ro-MD"/>
        </w:rPr>
        <w:t>;</w:t>
      </w:r>
    </w:p>
    <w:p w:rsidR="00CA309E" w:rsidRPr="00AA7B00" w:rsidRDefault="00C0623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3</w:t>
      </w:r>
      <w:r w:rsidR="00D34A07" w:rsidRPr="00AA7B00">
        <w:rPr>
          <w:rFonts w:ascii="Times New Roman" w:eastAsia="Times New Roman" w:hAnsi="Times New Roman" w:cs="Times New Roman"/>
          <w:sz w:val="28"/>
          <w:szCs w:val="28"/>
          <w:lang w:val="ro-MD"/>
        </w:rPr>
        <w:t>.2</w:t>
      </w:r>
      <w:r w:rsidR="00FC1B08" w:rsidRPr="00AA7B00">
        <w:rPr>
          <w:rFonts w:ascii="Times New Roman" w:eastAsia="Times New Roman" w:hAnsi="Times New Roman" w:cs="Times New Roman"/>
          <w:sz w:val="28"/>
          <w:szCs w:val="28"/>
          <w:lang w:val="ro-MD"/>
        </w:rPr>
        <w:t>.</w:t>
      </w:r>
      <w:r w:rsidR="00171FB4" w:rsidRPr="00AA7B00">
        <w:rPr>
          <w:rFonts w:ascii="Times New Roman" w:eastAsia="Times New Roman" w:hAnsi="Times New Roman" w:cs="Times New Roman"/>
          <w:sz w:val="28"/>
          <w:szCs w:val="28"/>
          <w:lang w:val="ro-MD"/>
        </w:rPr>
        <w:t xml:space="preserve"> </w:t>
      </w:r>
      <w:r w:rsidR="00CA309E" w:rsidRPr="00AA7B00">
        <w:rPr>
          <w:rFonts w:ascii="Times New Roman" w:eastAsia="Times New Roman" w:hAnsi="Times New Roman" w:cs="Times New Roman"/>
          <w:sz w:val="28"/>
          <w:szCs w:val="28"/>
          <w:lang w:val="ro-MD"/>
        </w:rPr>
        <w:t>în cazul tranzacțiilor de retragere obligatorie a acționarilor minoritari, se stabilește un preț de 0,</w:t>
      </w:r>
      <w:r w:rsidR="00301F0E" w:rsidRPr="00AA7B00">
        <w:rPr>
          <w:rFonts w:ascii="Times New Roman" w:eastAsia="Times New Roman" w:hAnsi="Times New Roman" w:cs="Times New Roman"/>
          <w:sz w:val="28"/>
          <w:szCs w:val="28"/>
          <w:lang w:val="ro-MD"/>
        </w:rPr>
        <w:t>6</w:t>
      </w:r>
      <w:r w:rsidR="00FC1B08" w:rsidRPr="00AA7B00">
        <w:rPr>
          <w:rFonts w:ascii="Times New Roman" w:eastAsia="Times New Roman" w:hAnsi="Times New Roman" w:cs="Times New Roman"/>
          <w:sz w:val="28"/>
          <w:szCs w:val="28"/>
          <w:lang w:val="ro-MD"/>
        </w:rPr>
        <w:t xml:space="preserve"> la sută</w:t>
      </w:r>
      <w:r w:rsidR="00CA309E" w:rsidRPr="00AA7B00">
        <w:rPr>
          <w:rFonts w:ascii="Times New Roman" w:eastAsia="Times New Roman" w:hAnsi="Times New Roman" w:cs="Times New Roman"/>
          <w:sz w:val="28"/>
          <w:szCs w:val="28"/>
          <w:lang w:val="ro-MD"/>
        </w:rPr>
        <w:t xml:space="preserve"> din valoarea fiecărui transfer, dar nu mai puțin de 50 lei și nu mai mult de 1</w:t>
      </w:r>
      <w:r w:rsidR="00FC1B08" w:rsidRPr="00AA7B00">
        <w:rPr>
          <w:rFonts w:ascii="Times New Roman" w:eastAsia="Times New Roman" w:hAnsi="Times New Roman" w:cs="Times New Roman"/>
          <w:sz w:val="28"/>
          <w:szCs w:val="28"/>
          <w:lang w:val="ro-MD"/>
        </w:rPr>
        <w:t xml:space="preserve"> </w:t>
      </w:r>
      <w:r w:rsidR="00CA309E" w:rsidRPr="00AA7B00">
        <w:rPr>
          <w:rFonts w:ascii="Times New Roman" w:eastAsia="Times New Roman" w:hAnsi="Times New Roman" w:cs="Times New Roman"/>
          <w:sz w:val="28"/>
          <w:szCs w:val="28"/>
          <w:lang w:val="ro-MD"/>
        </w:rPr>
        <w:t>000 lei de la ofertant</w:t>
      </w:r>
      <w:r w:rsidR="00171FB4" w:rsidRPr="00AA7B00">
        <w:rPr>
          <w:rFonts w:ascii="Times New Roman" w:eastAsia="Times New Roman" w:hAnsi="Times New Roman" w:cs="Times New Roman"/>
          <w:sz w:val="28"/>
          <w:szCs w:val="28"/>
          <w:lang w:val="ro-MD"/>
        </w:rPr>
        <w:t xml:space="preserve"> per </w:t>
      </w:r>
      <w:r w:rsidR="00FB3E86" w:rsidRPr="00AA7B00">
        <w:rPr>
          <w:rFonts w:ascii="Times New Roman" w:eastAsia="Times New Roman" w:hAnsi="Times New Roman" w:cs="Times New Roman"/>
          <w:sz w:val="28"/>
          <w:szCs w:val="28"/>
          <w:lang w:val="ro-MD"/>
        </w:rPr>
        <w:t>retragere din fiecare cont</w:t>
      </w:r>
      <w:r w:rsidR="00171FB4" w:rsidRPr="00AA7B00">
        <w:rPr>
          <w:rFonts w:ascii="Times New Roman" w:eastAsia="Times New Roman" w:hAnsi="Times New Roman" w:cs="Times New Roman"/>
          <w:sz w:val="28"/>
          <w:szCs w:val="28"/>
          <w:lang w:val="ro-MD"/>
        </w:rPr>
        <w:t>;</w:t>
      </w:r>
    </w:p>
    <w:p w:rsidR="00C06238" w:rsidRPr="00AA7B00" w:rsidRDefault="00FC1B08" w:rsidP="00AA7B00">
      <w:pPr>
        <w:pStyle w:val="ListParagraph"/>
        <w:numPr>
          <w:ilvl w:val="1"/>
          <w:numId w:val="7"/>
        </w:numPr>
        <w:tabs>
          <w:tab w:val="left" w:pos="0"/>
          <w:tab w:val="left" w:pos="284"/>
          <w:tab w:val="left" w:pos="426"/>
        </w:tabs>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 xml:space="preserve"> </w:t>
      </w:r>
      <w:r w:rsidR="00CA309E" w:rsidRPr="00AA7B00">
        <w:rPr>
          <w:rFonts w:ascii="Times New Roman" w:eastAsia="Times New Roman" w:hAnsi="Times New Roman" w:cs="Times New Roman"/>
          <w:sz w:val="28"/>
          <w:szCs w:val="28"/>
          <w:lang w:val="ro-MD"/>
        </w:rPr>
        <w:t xml:space="preserve">în cazul moştenirii se </w:t>
      </w:r>
      <w:r w:rsidR="00171FB4" w:rsidRPr="00AA7B00">
        <w:rPr>
          <w:rFonts w:ascii="Times New Roman" w:eastAsia="Times New Roman" w:hAnsi="Times New Roman" w:cs="Times New Roman"/>
          <w:sz w:val="28"/>
          <w:szCs w:val="28"/>
          <w:lang w:val="ro-MD"/>
        </w:rPr>
        <w:t>stabileşte un preţ de pâ</w:t>
      </w:r>
      <w:r w:rsidR="00CA309E" w:rsidRPr="00AA7B00">
        <w:rPr>
          <w:rFonts w:ascii="Times New Roman" w:eastAsia="Times New Roman" w:hAnsi="Times New Roman" w:cs="Times New Roman"/>
          <w:sz w:val="28"/>
          <w:szCs w:val="28"/>
          <w:lang w:val="ro-MD"/>
        </w:rPr>
        <w:t xml:space="preserve">nă la </w:t>
      </w:r>
      <w:r w:rsidR="00D34A07" w:rsidRPr="00AA7B00">
        <w:rPr>
          <w:rFonts w:ascii="Times New Roman" w:eastAsia="Times New Roman" w:hAnsi="Times New Roman" w:cs="Times New Roman"/>
          <w:sz w:val="28"/>
          <w:szCs w:val="28"/>
          <w:lang w:val="ro-MD"/>
        </w:rPr>
        <w:t>1</w:t>
      </w:r>
      <w:r w:rsidR="00CA309E" w:rsidRPr="00AA7B00">
        <w:rPr>
          <w:rFonts w:ascii="Times New Roman" w:eastAsia="Times New Roman" w:hAnsi="Times New Roman" w:cs="Times New Roman"/>
          <w:sz w:val="28"/>
          <w:szCs w:val="28"/>
          <w:lang w:val="ro-MD"/>
        </w:rPr>
        <w:t>0 lei.</w:t>
      </w:r>
    </w:p>
    <w:p w:rsidR="00CA309E" w:rsidRPr="00AA7B00" w:rsidRDefault="00FC1B08" w:rsidP="00AA7B00">
      <w:pPr>
        <w:pStyle w:val="ListParagraph"/>
        <w:numPr>
          <w:ilvl w:val="1"/>
          <w:numId w:val="7"/>
        </w:numPr>
        <w:tabs>
          <w:tab w:val="left" w:pos="0"/>
          <w:tab w:val="left" w:pos="284"/>
          <w:tab w:val="left" w:pos="426"/>
        </w:tabs>
        <w:spacing w:after="0" w:line="240" w:lineRule="auto"/>
        <w:ind w:left="0" w:firstLine="0"/>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 xml:space="preserve"> </w:t>
      </w:r>
      <w:r w:rsidR="00D34A07" w:rsidRPr="00AA7B00">
        <w:rPr>
          <w:rFonts w:ascii="Times New Roman" w:eastAsia="Times New Roman" w:hAnsi="Times New Roman" w:cs="Times New Roman"/>
          <w:sz w:val="28"/>
          <w:szCs w:val="28"/>
          <w:lang w:val="ro-MD"/>
        </w:rPr>
        <w:t xml:space="preserve">în alte cazuri </w:t>
      </w:r>
      <w:r w:rsidR="0016628E" w:rsidRPr="00AA7B00">
        <w:rPr>
          <w:rFonts w:ascii="Times New Roman" w:eastAsia="Times New Roman" w:hAnsi="Times New Roman" w:cs="Times New Roman"/>
          <w:sz w:val="28"/>
          <w:szCs w:val="28"/>
          <w:lang w:val="ro-MD"/>
        </w:rPr>
        <w:t>de transfer direct, inclusiv alte donații</w:t>
      </w:r>
      <w:r w:rsidR="00111C39" w:rsidRPr="00AA7B00">
        <w:rPr>
          <w:rFonts w:ascii="Times New Roman" w:eastAsia="Times New Roman" w:hAnsi="Times New Roman" w:cs="Times New Roman"/>
          <w:sz w:val="28"/>
          <w:szCs w:val="28"/>
          <w:lang w:val="ro-MD"/>
        </w:rPr>
        <w:t xml:space="preserve"> decât cele specificate în pct.</w:t>
      </w:r>
      <w:r w:rsidR="00096929" w:rsidRPr="00AA7B00">
        <w:rPr>
          <w:rFonts w:ascii="Times New Roman" w:eastAsia="Times New Roman" w:hAnsi="Times New Roman" w:cs="Times New Roman"/>
          <w:sz w:val="28"/>
          <w:szCs w:val="28"/>
          <w:lang w:val="ro-MD"/>
        </w:rPr>
        <w:t xml:space="preserve"> </w:t>
      </w:r>
      <w:r w:rsidR="00111C39" w:rsidRPr="00AA7B00">
        <w:rPr>
          <w:rFonts w:ascii="Times New Roman" w:eastAsia="Times New Roman" w:hAnsi="Times New Roman" w:cs="Times New Roman"/>
          <w:sz w:val="28"/>
          <w:szCs w:val="28"/>
          <w:lang w:val="ro-MD"/>
        </w:rPr>
        <w:t>3</w:t>
      </w:r>
      <w:r w:rsidR="0016628E" w:rsidRPr="00AA7B00">
        <w:rPr>
          <w:rFonts w:ascii="Times New Roman" w:eastAsia="Times New Roman" w:hAnsi="Times New Roman" w:cs="Times New Roman"/>
          <w:sz w:val="28"/>
          <w:szCs w:val="28"/>
          <w:lang w:val="ro-MD"/>
        </w:rPr>
        <w:t>.1</w:t>
      </w:r>
      <w:r w:rsidRPr="00AA7B00">
        <w:rPr>
          <w:rFonts w:ascii="Times New Roman" w:eastAsia="Times New Roman" w:hAnsi="Times New Roman" w:cs="Times New Roman"/>
          <w:sz w:val="28"/>
          <w:szCs w:val="28"/>
          <w:lang w:val="ro-MD"/>
        </w:rPr>
        <w:t>.</w:t>
      </w:r>
      <w:r w:rsidR="0016628E" w:rsidRPr="00AA7B00">
        <w:rPr>
          <w:rFonts w:ascii="Times New Roman" w:eastAsia="Times New Roman" w:hAnsi="Times New Roman" w:cs="Times New Roman"/>
          <w:sz w:val="28"/>
          <w:szCs w:val="28"/>
          <w:lang w:val="ro-MD"/>
        </w:rPr>
        <w:t xml:space="preserve">, </w:t>
      </w:r>
      <w:r w:rsidR="00CA309E" w:rsidRPr="00AA7B00">
        <w:rPr>
          <w:rFonts w:ascii="Times New Roman" w:eastAsia="Times New Roman" w:hAnsi="Times New Roman" w:cs="Times New Roman"/>
          <w:sz w:val="28"/>
          <w:szCs w:val="28"/>
          <w:lang w:val="ro-MD"/>
        </w:rPr>
        <w:t xml:space="preserve">se stabileşte </w:t>
      </w:r>
      <w:r w:rsidR="00AC6BB2" w:rsidRPr="00AA7B00">
        <w:rPr>
          <w:rFonts w:ascii="Times New Roman" w:eastAsia="Times New Roman" w:hAnsi="Times New Roman" w:cs="Times New Roman"/>
          <w:sz w:val="28"/>
          <w:szCs w:val="28"/>
          <w:lang w:val="ro-MD"/>
        </w:rPr>
        <w:t>un preţ de 0,3</w:t>
      </w:r>
      <w:r w:rsidRPr="00AA7B00">
        <w:rPr>
          <w:rFonts w:ascii="Times New Roman" w:eastAsia="Times New Roman" w:hAnsi="Times New Roman" w:cs="Times New Roman"/>
          <w:sz w:val="28"/>
          <w:szCs w:val="28"/>
          <w:lang w:val="ro-MD"/>
        </w:rPr>
        <w:t xml:space="preserve"> la sută</w:t>
      </w:r>
      <w:r w:rsidR="00AC6BB2" w:rsidRPr="00AA7B00">
        <w:rPr>
          <w:rFonts w:ascii="Times New Roman" w:eastAsia="Times New Roman" w:hAnsi="Times New Roman" w:cs="Times New Roman"/>
          <w:sz w:val="28"/>
          <w:szCs w:val="28"/>
          <w:lang w:val="ro-MD"/>
        </w:rPr>
        <w:t xml:space="preserve"> de la valoarea </w:t>
      </w:r>
      <w:r w:rsidR="00DF0BBD" w:rsidRPr="00AA7B00">
        <w:rPr>
          <w:rFonts w:ascii="Times New Roman" w:eastAsia="Times New Roman" w:hAnsi="Times New Roman" w:cs="Times New Roman"/>
          <w:sz w:val="28"/>
          <w:szCs w:val="28"/>
          <w:lang w:val="ro-MD"/>
        </w:rPr>
        <w:t>transferului</w:t>
      </w:r>
      <w:r w:rsidR="00AC6BB2" w:rsidRPr="00AA7B00">
        <w:rPr>
          <w:rFonts w:ascii="Times New Roman" w:eastAsia="Times New Roman" w:hAnsi="Times New Roman" w:cs="Times New Roman"/>
          <w:sz w:val="28"/>
          <w:szCs w:val="28"/>
          <w:lang w:val="ro-MD"/>
        </w:rPr>
        <w:t xml:space="preserve">, dar </w:t>
      </w:r>
      <w:r w:rsidR="00477FFE" w:rsidRPr="00AA7B00">
        <w:rPr>
          <w:rFonts w:ascii="Times New Roman" w:eastAsia="Times New Roman" w:hAnsi="Times New Roman" w:cs="Times New Roman"/>
          <w:sz w:val="28"/>
          <w:szCs w:val="28"/>
          <w:lang w:val="ro-MD"/>
        </w:rPr>
        <w:t xml:space="preserve">nu mai puțin de </w:t>
      </w:r>
      <w:r w:rsidR="00B62FF6" w:rsidRPr="00AA7B00">
        <w:rPr>
          <w:rFonts w:ascii="Times New Roman" w:eastAsia="Times New Roman" w:hAnsi="Times New Roman" w:cs="Times New Roman"/>
          <w:sz w:val="28"/>
          <w:szCs w:val="28"/>
          <w:lang w:val="ro-MD"/>
        </w:rPr>
        <w:t>1</w:t>
      </w:r>
      <w:r w:rsidR="00D34A07" w:rsidRPr="00AA7B00">
        <w:rPr>
          <w:rFonts w:ascii="Times New Roman" w:eastAsia="Times New Roman" w:hAnsi="Times New Roman" w:cs="Times New Roman"/>
          <w:sz w:val="28"/>
          <w:szCs w:val="28"/>
          <w:lang w:val="ro-MD"/>
        </w:rPr>
        <w:t>5</w:t>
      </w:r>
      <w:r w:rsidR="00B62FF6" w:rsidRPr="00AA7B00">
        <w:rPr>
          <w:rFonts w:ascii="Times New Roman" w:eastAsia="Times New Roman" w:hAnsi="Times New Roman" w:cs="Times New Roman"/>
          <w:sz w:val="28"/>
          <w:szCs w:val="28"/>
          <w:lang w:val="ro-MD"/>
        </w:rPr>
        <w:t>0</w:t>
      </w:r>
      <w:r w:rsidR="004C61EE" w:rsidRPr="00AA7B00">
        <w:rPr>
          <w:rFonts w:ascii="Times New Roman" w:eastAsia="Times New Roman" w:hAnsi="Times New Roman" w:cs="Times New Roman"/>
          <w:sz w:val="28"/>
          <w:szCs w:val="28"/>
          <w:lang w:val="ro-MD"/>
        </w:rPr>
        <w:t xml:space="preserve"> lei și </w:t>
      </w:r>
      <w:r w:rsidR="00AC6BB2" w:rsidRPr="00AA7B00">
        <w:rPr>
          <w:rFonts w:ascii="Times New Roman" w:eastAsia="Times New Roman" w:hAnsi="Times New Roman" w:cs="Times New Roman"/>
          <w:sz w:val="28"/>
          <w:szCs w:val="28"/>
          <w:lang w:val="ro-MD"/>
        </w:rPr>
        <w:t xml:space="preserve">nu mai mult de </w:t>
      </w:r>
      <w:r w:rsidR="00C06238" w:rsidRPr="00AA7B00">
        <w:rPr>
          <w:rFonts w:ascii="Times New Roman" w:eastAsia="Times New Roman" w:hAnsi="Times New Roman" w:cs="Times New Roman"/>
          <w:sz w:val="28"/>
          <w:szCs w:val="28"/>
          <w:lang w:val="ro-MD"/>
        </w:rPr>
        <w:t>5</w:t>
      </w:r>
      <w:r w:rsidRPr="00AA7B00">
        <w:rPr>
          <w:rFonts w:ascii="Times New Roman" w:eastAsia="Times New Roman" w:hAnsi="Times New Roman" w:cs="Times New Roman"/>
          <w:sz w:val="28"/>
          <w:szCs w:val="28"/>
          <w:lang w:val="ro-MD"/>
        </w:rPr>
        <w:t xml:space="preserve"> </w:t>
      </w:r>
      <w:r w:rsidR="004C61EE" w:rsidRPr="00AA7B00">
        <w:rPr>
          <w:rFonts w:ascii="Times New Roman" w:eastAsia="Times New Roman" w:hAnsi="Times New Roman" w:cs="Times New Roman"/>
          <w:sz w:val="28"/>
          <w:szCs w:val="28"/>
          <w:lang w:val="ro-MD"/>
        </w:rPr>
        <w:t xml:space="preserve">000 </w:t>
      </w:r>
      <w:r w:rsidR="00AC6BB2" w:rsidRPr="00AA7B00">
        <w:rPr>
          <w:rFonts w:ascii="Times New Roman" w:eastAsia="Times New Roman" w:hAnsi="Times New Roman" w:cs="Times New Roman"/>
          <w:sz w:val="28"/>
          <w:szCs w:val="28"/>
          <w:lang w:val="ro-MD"/>
        </w:rPr>
        <w:t>lei de la fiecare parte implicată în tranzacţie</w:t>
      </w:r>
      <w:r w:rsidR="007D4394" w:rsidRPr="00AA7B00">
        <w:rPr>
          <w:rFonts w:ascii="Times New Roman" w:eastAsia="Times New Roman" w:hAnsi="Times New Roman" w:cs="Times New Roman"/>
          <w:sz w:val="28"/>
          <w:szCs w:val="28"/>
          <w:lang w:val="ro-MD"/>
        </w:rPr>
        <w:t xml:space="preserve">, cu eliberarea gratuită a extraselor privind retragerea și înscrierea în cont a </w:t>
      </w:r>
      <w:r w:rsidR="00C06238" w:rsidRPr="00AA7B00">
        <w:rPr>
          <w:rFonts w:ascii="Times New Roman" w:eastAsia="Times New Roman" w:hAnsi="Times New Roman" w:cs="Times New Roman"/>
          <w:sz w:val="28"/>
          <w:szCs w:val="28"/>
          <w:lang w:val="ro-MD"/>
        </w:rPr>
        <w:t>acțiunilor</w:t>
      </w:r>
      <w:r w:rsidRPr="00AA7B00">
        <w:rPr>
          <w:rFonts w:ascii="Times New Roman" w:eastAsia="Times New Roman" w:hAnsi="Times New Roman" w:cs="Times New Roman"/>
          <w:sz w:val="28"/>
          <w:szCs w:val="28"/>
          <w:lang w:val="ro-MD"/>
        </w:rPr>
        <w:t>.</w:t>
      </w:r>
    </w:p>
    <w:p w:rsidR="00AC6BB2" w:rsidRPr="00AA7B00" w:rsidRDefault="00C0623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4</w:t>
      </w:r>
      <w:r w:rsidR="000672BE" w:rsidRPr="00AA7B00">
        <w:rPr>
          <w:rFonts w:ascii="Times New Roman" w:eastAsia="Times New Roman" w:hAnsi="Times New Roman" w:cs="Times New Roman"/>
          <w:b/>
          <w:bCs/>
          <w:sz w:val="28"/>
          <w:szCs w:val="28"/>
          <w:lang w:val="ro-MD"/>
        </w:rPr>
        <w:t>.</w:t>
      </w:r>
      <w:r w:rsidR="00402B4B" w:rsidRPr="00AA7B00">
        <w:rPr>
          <w:rFonts w:ascii="Times New Roman" w:eastAsia="Times New Roman" w:hAnsi="Times New Roman" w:cs="Times New Roman"/>
          <w:sz w:val="28"/>
          <w:szCs w:val="28"/>
          <w:lang w:val="ro-MD"/>
        </w:rPr>
        <w:t xml:space="preserve"> </w:t>
      </w:r>
      <w:r w:rsidR="00AC6BB2" w:rsidRPr="00AA7B00">
        <w:rPr>
          <w:rFonts w:ascii="Times New Roman" w:eastAsia="Times New Roman" w:hAnsi="Times New Roman" w:cs="Times New Roman"/>
          <w:sz w:val="28"/>
          <w:szCs w:val="28"/>
          <w:lang w:val="ro-MD"/>
        </w:rPr>
        <w:t xml:space="preserve">Pentru o operaţiune de transmitere (retragere) a </w:t>
      </w:r>
      <w:r w:rsidRPr="00AA7B00">
        <w:rPr>
          <w:rFonts w:ascii="Times New Roman" w:eastAsia="Times New Roman" w:hAnsi="Times New Roman" w:cs="Times New Roman"/>
          <w:sz w:val="28"/>
          <w:szCs w:val="28"/>
          <w:lang w:val="ro-MD"/>
        </w:rPr>
        <w:t>acțiunilor</w:t>
      </w:r>
      <w:r w:rsidR="00AC6BB2" w:rsidRPr="00AA7B00">
        <w:rPr>
          <w:rFonts w:ascii="Times New Roman" w:eastAsia="Times New Roman" w:hAnsi="Times New Roman" w:cs="Times New Roman"/>
          <w:sz w:val="28"/>
          <w:szCs w:val="28"/>
          <w:lang w:val="ro-MD"/>
        </w:rPr>
        <w:t xml:space="preserve"> în (din) custodie se stabileşte un preţ de p</w:t>
      </w:r>
      <w:r w:rsidR="00171FB4"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nă la </w:t>
      </w:r>
      <w:r w:rsidR="00171FB4" w:rsidRPr="00AA7B00">
        <w:rPr>
          <w:rFonts w:ascii="Times New Roman" w:eastAsia="Times New Roman" w:hAnsi="Times New Roman" w:cs="Times New Roman"/>
          <w:sz w:val="28"/>
          <w:szCs w:val="28"/>
          <w:lang w:val="ro-MD"/>
        </w:rPr>
        <w:t>5</w:t>
      </w:r>
      <w:r w:rsidR="00AC6BB2" w:rsidRPr="00AA7B00">
        <w:rPr>
          <w:rFonts w:ascii="Times New Roman" w:eastAsia="Times New Roman" w:hAnsi="Times New Roman" w:cs="Times New Roman"/>
          <w:sz w:val="28"/>
          <w:szCs w:val="28"/>
          <w:lang w:val="ro-MD"/>
        </w:rPr>
        <w:t>0 lei, cu eliber</w:t>
      </w:r>
      <w:r w:rsidR="00DB7EF1" w:rsidRPr="00AA7B00">
        <w:rPr>
          <w:rFonts w:ascii="Times New Roman" w:eastAsia="Times New Roman" w:hAnsi="Times New Roman" w:cs="Times New Roman"/>
          <w:sz w:val="28"/>
          <w:szCs w:val="28"/>
          <w:lang w:val="ro-MD"/>
        </w:rPr>
        <w:t>area gratuită a extrasului din S</w:t>
      </w:r>
      <w:r w:rsidR="00AC6BB2" w:rsidRPr="00AA7B00">
        <w:rPr>
          <w:rFonts w:ascii="Times New Roman" w:eastAsia="Times New Roman" w:hAnsi="Times New Roman" w:cs="Times New Roman"/>
          <w:sz w:val="28"/>
          <w:szCs w:val="28"/>
          <w:lang w:val="ro-MD"/>
        </w:rPr>
        <w:t>istem</w:t>
      </w:r>
      <w:r w:rsidR="00FC1B08" w:rsidRPr="00AA7B00">
        <w:rPr>
          <w:rFonts w:ascii="Times New Roman" w:eastAsia="Times New Roman" w:hAnsi="Times New Roman" w:cs="Times New Roman"/>
          <w:sz w:val="28"/>
          <w:szCs w:val="28"/>
          <w:lang w:val="ro-MD"/>
        </w:rPr>
        <w:t>ul informațional</w:t>
      </w:r>
      <w:r w:rsidR="00AC6BB2" w:rsidRPr="00AA7B00">
        <w:rPr>
          <w:rFonts w:ascii="Times New Roman" w:eastAsia="Times New Roman" w:hAnsi="Times New Roman" w:cs="Times New Roman"/>
          <w:sz w:val="28"/>
          <w:szCs w:val="28"/>
          <w:lang w:val="ro-MD"/>
        </w:rPr>
        <w:t>.</w:t>
      </w:r>
    </w:p>
    <w:p w:rsidR="00AC6BB2" w:rsidRPr="00AA7B00" w:rsidRDefault="00C0623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5</w:t>
      </w:r>
      <w:r w:rsidR="000672BE" w:rsidRPr="00AA7B00">
        <w:rPr>
          <w:rFonts w:ascii="Times New Roman" w:eastAsia="Times New Roman" w:hAnsi="Times New Roman" w:cs="Times New Roman"/>
          <w:b/>
          <w:bCs/>
          <w:sz w:val="28"/>
          <w:szCs w:val="28"/>
          <w:lang w:val="ro-MD"/>
        </w:rPr>
        <w:t>.</w:t>
      </w:r>
      <w:r w:rsidR="00AC6BB2" w:rsidRPr="00AA7B00">
        <w:rPr>
          <w:rFonts w:ascii="Times New Roman" w:eastAsia="Times New Roman" w:hAnsi="Times New Roman" w:cs="Times New Roman"/>
          <w:sz w:val="28"/>
          <w:szCs w:val="28"/>
          <w:lang w:val="ro-MD"/>
        </w:rPr>
        <w:t xml:space="preserve"> Pentru eliberarea extrasului din registrul </w:t>
      </w:r>
      <w:r w:rsidRPr="00AA7B00">
        <w:rPr>
          <w:rFonts w:ascii="Times New Roman" w:eastAsia="Times New Roman" w:hAnsi="Times New Roman" w:cs="Times New Roman"/>
          <w:sz w:val="28"/>
          <w:szCs w:val="28"/>
          <w:lang w:val="ro-MD"/>
        </w:rPr>
        <w:t>acționarilor</w:t>
      </w:r>
      <w:r w:rsidR="00C12743" w:rsidRPr="00AA7B00">
        <w:rPr>
          <w:rFonts w:ascii="Times New Roman" w:eastAsia="Times New Roman" w:hAnsi="Times New Roman" w:cs="Times New Roman"/>
          <w:sz w:val="28"/>
          <w:szCs w:val="28"/>
          <w:lang w:val="ro-MD"/>
        </w:rPr>
        <w:t>,</w:t>
      </w:r>
      <w:r w:rsidR="00AC6BB2" w:rsidRPr="00AA7B00">
        <w:rPr>
          <w:rFonts w:ascii="Times New Roman" w:eastAsia="Times New Roman" w:hAnsi="Times New Roman" w:cs="Times New Roman"/>
          <w:sz w:val="28"/>
          <w:szCs w:val="28"/>
          <w:lang w:val="ro-MD"/>
        </w:rPr>
        <w:t xml:space="preserve"> în alte cazuri dec</w:t>
      </w:r>
      <w:r w:rsidR="00D34A07"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t </w:t>
      </w:r>
      <w:r w:rsidR="007D4394" w:rsidRPr="00AA7B00">
        <w:rPr>
          <w:rFonts w:ascii="Times New Roman" w:eastAsia="Times New Roman" w:hAnsi="Times New Roman" w:cs="Times New Roman"/>
          <w:sz w:val="28"/>
          <w:szCs w:val="28"/>
          <w:lang w:val="ro-MD"/>
        </w:rPr>
        <w:t>cele specificate în prezenta Hotărâre,</w:t>
      </w:r>
      <w:r w:rsidR="00AC6BB2" w:rsidRPr="00AA7B00">
        <w:rPr>
          <w:rFonts w:ascii="Times New Roman" w:eastAsia="Times New Roman" w:hAnsi="Times New Roman" w:cs="Times New Roman"/>
          <w:sz w:val="28"/>
          <w:szCs w:val="28"/>
          <w:lang w:val="ro-MD"/>
        </w:rPr>
        <w:t xml:space="preserve"> se stabileşte</w:t>
      </w:r>
      <w:r w:rsidRPr="00AA7B00">
        <w:rPr>
          <w:rFonts w:ascii="Times New Roman" w:eastAsia="Times New Roman" w:hAnsi="Times New Roman" w:cs="Times New Roman"/>
          <w:sz w:val="28"/>
          <w:szCs w:val="28"/>
          <w:lang w:val="ro-MD"/>
        </w:rPr>
        <w:t>,</w:t>
      </w:r>
      <w:r w:rsidR="00AC6BB2" w:rsidRPr="00AA7B00">
        <w:rPr>
          <w:rFonts w:ascii="Times New Roman" w:eastAsia="Times New Roman" w:hAnsi="Times New Roman" w:cs="Times New Roman"/>
          <w:sz w:val="28"/>
          <w:szCs w:val="28"/>
          <w:lang w:val="ro-MD"/>
        </w:rPr>
        <w:t xml:space="preserve"> pentru persoanele fizice</w:t>
      </w:r>
      <w:r w:rsidR="00FC1B08" w:rsidRPr="00AA7B00">
        <w:rPr>
          <w:rFonts w:ascii="Times New Roman" w:eastAsia="Times New Roman" w:hAnsi="Times New Roman" w:cs="Times New Roman"/>
          <w:sz w:val="28"/>
          <w:szCs w:val="28"/>
          <w:lang w:val="ro-MD"/>
        </w:rPr>
        <w:t>,</w:t>
      </w:r>
      <w:r w:rsidR="00AC6BB2" w:rsidRPr="00AA7B00">
        <w:rPr>
          <w:rFonts w:ascii="Times New Roman" w:eastAsia="Times New Roman" w:hAnsi="Times New Roman" w:cs="Times New Roman"/>
          <w:sz w:val="28"/>
          <w:szCs w:val="28"/>
          <w:lang w:val="ro-MD"/>
        </w:rPr>
        <w:t xml:space="preserve"> un preţ de p</w:t>
      </w:r>
      <w:r w:rsidR="00526974"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nă la </w:t>
      </w:r>
      <w:r w:rsidR="0046659C" w:rsidRPr="00AA7B00">
        <w:rPr>
          <w:rFonts w:ascii="Times New Roman" w:eastAsia="Times New Roman" w:hAnsi="Times New Roman" w:cs="Times New Roman"/>
          <w:sz w:val="28"/>
          <w:szCs w:val="28"/>
          <w:lang w:val="ro-MD"/>
        </w:rPr>
        <w:t>50</w:t>
      </w:r>
      <w:r w:rsidR="00AC6BB2" w:rsidRPr="00AA7B00">
        <w:rPr>
          <w:rFonts w:ascii="Times New Roman" w:eastAsia="Times New Roman" w:hAnsi="Times New Roman" w:cs="Times New Roman"/>
          <w:sz w:val="28"/>
          <w:szCs w:val="28"/>
          <w:lang w:val="ro-MD"/>
        </w:rPr>
        <w:t xml:space="preserve"> lei, iar pentru persoanele juridice </w:t>
      </w:r>
      <w:r w:rsidR="00FC1B08" w:rsidRPr="00AA7B00">
        <w:rPr>
          <w:rFonts w:ascii="Times New Roman" w:eastAsia="Times New Roman" w:hAnsi="Times New Roman" w:cs="Times New Roman"/>
          <w:sz w:val="28"/>
          <w:szCs w:val="28"/>
          <w:lang w:val="ro-MD"/>
        </w:rPr>
        <w:t>–</w:t>
      </w:r>
      <w:r w:rsidR="00AC6BB2" w:rsidRPr="00AA7B00">
        <w:rPr>
          <w:rFonts w:ascii="Times New Roman" w:eastAsia="Times New Roman" w:hAnsi="Times New Roman" w:cs="Times New Roman"/>
          <w:sz w:val="28"/>
          <w:szCs w:val="28"/>
          <w:lang w:val="ro-MD"/>
        </w:rPr>
        <w:t xml:space="preserve"> un preţ de p</w:t>
      </w:r>
      <w:r w:rsidR="00D34A07"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nă la </w:t>
      </w:r>
      <w:r w:rsidR="0046659C" w:rsidRPr="00AA7B00">
        <w:rPr>
          <w:rFonts w:ascii="Times New Roman" w:eastAsia="Times New Roman" w:hAnsi="Times New Roman" w:cs="Times New Roman"/>
          <w:sz w:val="28"/>
          <w:szCs w:val="28"/>
          <w:lang w:val="ro-MD"/>
        </w:rPr>
        <w:t>100</w:t>
      </w:r>
      <w:r w:rsidR="00AD53E6" w:rsidRPr="00AA7B00">
        <w:rPr>
          <w:rFonts w:ascii="Times New Roman" w:eastAsia="Times New Roman" w:hAnsi="Times New Roman" w:cs="Times New Roman"/>
          <w:sz w:val="28"/>
          <w:szCs w:val="28"/>
          <w:lang w:val="ro-MD"/>
        </w:rPr>
        <w:t xml:space="preserve"> </w:t>
      </w:r>
      <w:r w:rsidR="007D4394" w:rsidRPr="00AA7B00">
        <w:rPr>
          <w:rFonts w:ascii="Times New Roman" w:eastAsia="Times New Roman" w:hAnsi="Times New Roman" w:cs="Times New Roman"/>
          <w:sz w:val="28"/>
          <w:szCs w:val="28"/>
          <w:lang w:val="ro-MD"/>
        </w:rPr>
        <w:t>lei</w:t>
      </w:r>
      <w:r w:rsidR="00AC6BB2" w:rsidRPr="00AA7B00">
        <w:rPr>
          <w:rFonts w:ascii="Times New Roman" w:eastAsia="Times New Roman" w:hAnsi="Times New Roman" w:cs="Times New Roman"/>
          <w:sz w:val="28"/>
          <w:szCs w:val="28"/>
          <w:lang w:val="ro-MD"/>
        </w:rPr>
        <w:t>. Pentru eliberarea extraselor în regim de urgenţă</w:t>
      </w:r>
      <w:r w:rsidR="008678D1" w:rsidRPr="00AA7B00">
        <w:rPr>
          <w:rFonts w:ascii="Times New Roman" w:eastAsia="Times New Roman" w:hAnsi="Times New Roman" w:cs="Times New Roman"/>
          <w:sz w:val="28"/>
          <w:szCs w:val="28"/>
          <w:lang w:val="ro-MD"/>
        </w:rPr>
        <w:t xml:space="preserve"> (în aceeași zi) </w:t>
      </w:r>
      <w:r w:rsidR="00AC6BB2" w:rsidRPr="00AA7B00">
        <w:rPr>
          <w:rFonts w:ascii="Times New Roman" w:eastAsia="Times New Roman" w:hAnsi="Times New Roman" w:cs="Times New Roman"/>
          <w:sz w:val="28"/>
          <w:szCs w:val="28"/>
          <w:lang w:val="ro-MD"/>
        </w:rPr>
        <w:t>se stabileşte un preţ dublu.</w:t>
      </w:r>
    </w:p>
    <w:p w:rsidR="00AC6BB2" w:rsidRPr="00AA7B00" w:rsidRDefault="00301F0E"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6</w:t>
      </w:r>
      <w:r w:rsidR="00AC6BB2" w:rsidRPr="00AA7B00">
        <w:rPr>
          <w:rFonts w:ascii="Times New Roman" w:eastAsia="Times New Roman" w:hAnsi="Times New Roman" w:cs="Times New Roman"/>
          <w:b/>
          <w:bCs/>
          <w:sz w:val="28"/>
          <w:szCs w:val="28"/>
          <w:lang w:val="ro-MD"/>
        </w:rPr>
        <w:t>.</w:t>
      </w:r>
      <w:r w:rsidR="00AC6BB2" w:rsidRPr="00AA7B00">
        <w:rPr>
          <w:rFonts w:ascii="Times New Roman" w:eastAsia="Times New Roman" w:hAnsi="Times New Roman" w:cs="Times New Roman"/>
          <w:sz w:val="28"/>
          <w:szCs w:val="28"/>
          <w:lang w:val="ro-MD"/>
        </w:rPr>
        <w:t xml:space="preserve"> Extrasul din registrul </w:t>
      </w:r>
      <w:r w:rsidRPr="00AA7B00">
        <w:rPr>
          <w:rFonts w:ascii="Times New Roman" w:eastAsia="Times New Roman" w:hAnsi="Times New Roman" w:cs="Times New Roman"/>
          <w:sz w:val="28"/>
          <w:szCs w:val="28"/>
          <w:lang w:val="ro-MD"/>
        </w:rPr>
        <w:t>acționarilor</w:t>
      </w:r>
      <w:r w:rsidR="00AC6BB2" w:rsidRPr="00AA7B00">
        <w:rPr>
          <w:rFonts w:ascii="Times New Roman" w:eastAsia="Times New Roman" w:hAnsi="Times New Roman" w:cs="Times New Roman"/>
          <w:sz w:val="28"/>
          <w:szCs w:val="28"/>
          <w:lang w:val="ro-MD"/>
        </w:rPr>
        <w:t xml:space="preserve"> se va elibera gratuit persoanelor pensiona</w:t>
      </w:r>
      <w:r w:rsidRPr="00AA7B00">
        <w:rPr>
          <w:rFonts w:ascii="Times New Roman" w:eastAsia="Times New Roman" w:hAnsi="Times New Roman" w:cs="Times New Roman"/>
          <w:sz w:val="28"/>
          <w:szCs w:val="28"/>
          <w:lang w:val="ro-MD"/>
        </w:rPr>
        <w:t>te, persoanelor cu dizabilităţi și</w:t>
      </w:r>
      <w:r w:rsidR="00AC6BB2" w:rsidRPr="00AA7B00">
        <w:rPr>
          <w:rFonts w:ascii="Times New Roman" w:eastAsia="Times New Roman" w:hAnsi="Times New Roman" w:cs="Times New Roman"/>
          <w:sz w:val="28"/>
          <w:szCs w:val="28"/>
          <w:lang w:val="ro-MD"/>
        </w:rPr>
        <w:t xml:space="preserve"> participanţilor la acţiuni militare.</w:t>
      </w:r>
    </w:p>
    <w:p w:rsidR="00AC6BB2" w:rsidRPr="00AA7B00" w:rsidRDefault="00301F0E"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7</w:t>
      </w:r>
      <w:r w:rsidR="00AC6BB2" w:rsidRPr="00AA7B00">
        <w:rPr>
          <w:rFonts w:ascii="Times New Roman" w:eastAsia="Times New Roman" w:hAnsi="Times New Roman" w:cs="Times New Roman"/>
          <w:b/>
          <w:bCs/>
          <w:sz w:val="28"/>
          <w:szCs w:val="28"/>
          <w:lang w:val="ro-MD"/>
        </w:rPr>
        <w:t>.</w:t>
      </w:r>
      <w:r w:rsidR="00AC6BB2" w:rsidRPr="00AA7B00">
        <w:rPr>
          <w:rFonts w:ascii="Times New Roman" w:eastAsia="Times New Roman" w:hAnsi="Times New Roman" w:cs="Times New Roman"/>
          <w:sz w:val="28"/>
          <w:szCs w:val="28"/>
          <w:lang w:val="ro-MD"/>
        </w:rPr>
        <w:t xml:space="preserve"> Pentru eliberarea şi expedierea extrasului din registrul </w:t>
      </w:r>
      <w:r w:rsidRPr="00AA7B00">
        <w:rPr>
          <w:rFonts w:ascii="Times New Roman" w:eastAsia="Times New Roman" w:hAnsi="Times New Roman" w:cs="Times New Roman"/>
          <w:sz w:val="28"/>
          <w:szCs w:val="28"/>
          <w:lang w:val="ro-MD"/>
        </w:rPr>
        <w:t>acționarilor</w:t>
      </w:r>
      <w:r w:rsidR="00AC6BB2" w:rsidRPr="00AA7B00">
        <w:rPr>
          <w:rFonts w:ascii="Times New Roman" w:eastAsia="Times New Roman" w:hAnsi="Times New Roman" w:cs="Times New Roman"/>
          <w:sz w:val="28"/>
          <w:szCs w:val="28"/>
          <w:lang w:val="ro-MD"/>
        </w:rPr>
        <w:t xml:space="preserve"> </w:t>
      </w:r>
      <w:r w:rsidR="00FC1B08" w:rsidRPr="00AA7B00">
        <w:rPr>
          <w:rFonts w:ascii="Times New Roman" w:eastAsia="Times New Roman" w:hAnsi="Times New Roman" w:cs="Times New Roman"/>
          <w:sz w:val="28"/>
          <w:szCs w:val="28"/>
          <w:lang w:val="ro-MD"/>
        </w:rPr>
        <w:t>se stabileşte un preţ prevăzut la</w:t>
      </w:r>
      <w:r w:rsidR="00AC6BB2" w:rsidRPr="00AA7B00">
        <w:rPr>
          <w:rFonts w:ascii="Times New Roman" w:eastAsia="Times New Roman" w:hAnsi="Times New Roman" w:cs="Times New Roman"/>
          <w:sz w:val="28"/>
          <w:szCs w:val="28"/>
          <w:lang w:val="ro-MD"/>
        </w:rPr>
        <w:t xml:space="preserve"> pct.</w:t>
      </w:r>
      <w:r w:rsidR="00533FC0" w:rsidRPr="00AA7B00">
        <w:rPr>
          <w:rFonts w:ascii="Times New Roman" w:eastAsia="Times New Roman" w:hAnsi="Times New Roman" w:cs="Times New Roman"/>
          <w:sz w:val="28"/>
          <w:szCs w:val="28"/>
          <w:lang w:val="ro-MD"/>
        </w:rPr>
        <w:t xml:space="preserve"> </w:t>
      </w:r>
      <w:r w:rsidRPr="00AA7B00">
        <w:rPr>
          <w:rFonts w:ascii="Times New Roman" w:eastAsia="Times New Roman" w:hAnsi="Times New Roman" w:cs="Times New Roman"/>
          <w:sz w:val="28"/>
          <w:szCs w:val="28"/>
          <w:lang w:val="ro-MD"/>
        </w:rPr>
        <w:t>5</w:t>
      </w:r>
      <w:r w:rsidR="00FC1B08" w:rsidRPr="00AA7B00">
        <w:rPr>
          <w:rFonts w:ascii="Times New Roman" w:eastAsia="Times New Roman" w:hAnsi="Times New Roman" w:cs="Times New Roman"/>
          <w:sz w:val="28"/>
          <w:szCs w:val="28"/>
          <w:lang w:val="ro-MD"/>
        </w:rPr>
        <w:t>,</w:t>
      </w:r>
      <w:r w:rsidR="00AC6BB2" w:rsidRPr="00AA7B00">
        <w:rPr>
          <w:rFonts w:ascii="Times New Roman" w:eastAsia="Times New Roman" w:hAnsi="Times New Roman" w:cs="Times New Roman"/>
          <w:sz w:val="28"/>
          <w:szCs w:val="28"/>
          <w:lang w:val="ro-MD"/>
        </w:rPr>
        <w:t xml:space="preserve"> plus costul serviciilor poştale.</w:t>
      </w:r>
    </w:p>
    <w:p w:rsidR="00AC6BB2" w:rsidRPr="00AA7B00" w:rsidRDefault="00E26F57"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8</w:t>
      </w:r>
      <w:r w:rsidR="00AC6BB2" w:rsidRPr="00AA7B00">
        <w:rPr>
          <w:rFonts w:ascii="Times New Roman" w:eastAsia="Times New Roman" w:hAnsi="Times New Roman" w:cs="Times New Roman"/>
          <w:b/>
          <w:bCs/>
          <w:sz w:val="28"/>
          <w:szCs w:val="28"/>
          <w:lang w:val="ro-MD"/>
        </w:rPr>
        <w:t>.</w:t>
      </w:r>
      <w:r w:rsidR="00AC6BB2" w:rsidRPr="00AA7B00">
        <w:rPr>
          <w:rFonts w:ascii="Times New Roman" w:eastAsia="Times New Roman" w:hAnsi="Times New Roman" w:cs="Times New Roman"/>
          <w:sz w:val="28"/>
          <w:szCs w:val="28"/>
          <w:lang w:val="ro-MD"/>
        </w:rPr>
        <w:t xml:space="preserve"> Pentru efectuarea şi eliberarea copiilor pe purtători de h</w:t>
      </w:r>
      <w:r w:rsidR="005A7872"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rtie a documentelor se stabileşte un preţ de </w:t>
      </w:r>
      <w:r w:rsidR="00D20F41" w:rsidRPr="00AA7B00">
        <w:rPr>
          <w:rFonts w:ascii="Times New Roman" w:eastAsia="Times New Roman" w:hAnsi="Times New Roman" w:cs="Times New Roman"/>
          <w:sz w:val="28"/>
          <w:szCs w:val="28"/>
          <w:lang w:val="ro-MD"/>
        </w:rPr>
        <w:t xml:space="preserve">până la </w:t>
      </w:r>
      <w:r w:rsidRPr="00AA7B00">
        <w:rPr>
          <w:rFonts w:ascii="Times New Roman" w:eastAsia="Times New Roman" w:hAnsi="Times New Roman" w:cs="Times New Roman"/>
          <w:sz w:val="28"/>
          <w:szCs w:val="28"/>
          <w:lang w:val="ro-MD"/>
        </w:rPr>
        <w:t>2</w:t>
      </w:r>
      <w:r w:rsidR="00AC6BB2" w:rsidRPr="00AA7B00">
        <w:rPr>
          <w:rFonts w:ascii="Times New Roman" w:eastAsia="Times New Roman" w:hAnsi="Times New Roman" w:cs="Times New Roman"/>
          <w:sz w:val="28"/>
          <w:szCs w:val="28"/>
          <w:lang w:val="ro-MD"/>
        </w:rPr>
        <w:t xml:space="preserve"> le</w:t>
      </w:r>
      <w:r w:rsidRPr="00AA7B00">
        <w:rPr>
          <w:rFonts w:ascii="Times New Roman" w:eastAsia="Times New Roman" w:hAnsi="Times New Roman" w:cs="Times New Roman"/>
          <w:sz w:val="28"/>
          <w:szCs w:val="28"/>
          <w:lang w:val="ro-MD"/>
        </w:rPr>
        <w:t>i</w:t>
      </w:r>
      <w:r w:rsidR="00AC6BB2" w:rsidRPr="00AA7B00">
        <w:rPr>
          <w:rFonts w:ascii="Times New Roman" w:eastAsia="Times New Roman" w:hAnsi="Times New Roman" w:cs="Times New Roman"/>
          <w:sz w:val="28"/>
          <w:szCs w:val="28"/>
          <w:lang w:val="ro-MD"/>
        </w:rPr>
        <w:t xml:space="preserve"> </w:t>
      </w:r>
      <w:r w:rsidR="009C2A9E" w:rsidRPr="00AA7B00">
        <w:rPr>
          <w:rFonts w:ascii="Times New Roman" w:eastAsia="Times New Roman" w:hAnsi="Times New Roman" w:cs="Times New Roman"/>
          <w:sz w:val="28"/>
          <w:szCs w:val="28"/>
          <w:lang w:val="ro-MD"/>
        </w:rPr>
        <w:t xml:space="preserve">per </w:t>
      </w:r>
      <w:r w:rsidR="005A7872" w:rsidRPr="00AA7B00">
        <w:rPr>
          <w:rFonts w:ascii="Times New Roman" w:eastAsia="Times New Roman" w:hAnsi="Times New Roman" w:cs="Times New Roman"/>
          <w:sz w:val="28"/>
          <w:szCs w:val="28"/>
          <w:lang w:val="ro-MD"/>
        </w:rPr>
        <w:t>pagină</w:t>
      </w:r>
      <w:r w:rsidR="00714AB3" w:rsidRPr="00AA7B00">
        <w:rPr>
          <w:rFonts w:ascii="Times New Roman" w:eastAsia="Times New Roman" w:hAnsi="Times New Roman" w:cs="Times New Roman"/>
          <w:sz w:val="28"/>
          <w:szCs w:val="28"/>
          <w:lang w:val="ro-MD"/>
        </w:rPr>
        <w:t xml:space="preserve">, iar pentru </w:t>
      </w:r>
      <w:r w:rsidR="00690E96" w:rsidRPr="00AA7B00">
        <w:rPr>
          <w:rFonts w:ascii="Times New Roman" w:eastAsia="Times New Roman" w:hAnsi="Times New Roman" w:cs="Times New Roman"/>
          <w:sz w:val="28"/>
          <w:szCs w:val="28"/>
          <w:lang w:val="ro-MD"/>
        </w:rPr>
        <w:t>eliberarea copiilor scanate de pe documentele pe suport de hârtie</w:t>
      </w:r>
      <w:r w:rsidR="00714AB3" w:rsidRPr="00AA7B00">
        <w:rPr>
          <w:rFonts w:ascii="Times New Roman" w:eastAsia="Times New Roman" w:hAnsi="Times New Roman" w:cs="Times New Roman"/>
          <w:sz w:val="28"/>
          <w:szCs w:val="28"/>
          <w:lang w:val="ro-MD"/>
        </w:rPr>
        <w:t xml:space="preserve">, se stabilește </w:t>
      </w:r>
      <w:r w:rsidR="00690E96" w:rsidRPr="00AA7B00">
        <w:rPr>
          <w:rFonts w:ascii="Times New Roman" w:eastAsia="Times New Roman" w:hAnsi="Times New Roman" w:cs="Times New Roman"/>
          <w:sz w:val="28"/>
          <w:szCs w:val="28"/>
          <w:lang w:val="ro-MD"/>
        </w:rPr>
        <w:t xml:space="preserve">un preț de până la </w:t>
      </w:r>
      <w:r w:rsidR="00714AB3" w:rsidRPr="00AA7B00">
        <w:rPr>
          <w:rFonts w:ascii="Times New Roman" w:eastAsia="Times New Roman" w:hAnsi="Times New Roman" w:cs="Times New Roman"/>
          <w:sz w:val="28"/>
          <w:szCs w:val="28"/>
          <w:lang w:val="ro-MD"/>
        </w:rPr>
        <w:t>1 leu per pagină</w:t>
      </w:r>
      <w:r w:rsidR="00FC1B08" w:rsidRPr="00AA7B00">
        <w:rPr>
          <w:rFonts w:ascii="Times New Roman" w:eastAsia="Times New Roman" w:hAnsi="Times New Roman" w:cs="Times New Roman"/>
          <w:sz w:val="28"/>
          <w:szCs w:val="28"/>
          <w:lang w:val="ro-MD"/>
        </w:rPr>
        <w:t>.</w:t>
      </w:r>
    </w:p>
    <w:p w:rsidR="00CF5FA5" w:rsidRPr="00AA7B00" w:rsidRDefault="005C029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sz w:val="28"/>
          <w:szCs w:val="28"/>
          <w:lang w:val="ro-MD"/>
        </w:rPr>
        <w:lastRenderedPageBreak/>
        <w:t>9</w:t>
      </w:r>
      <w:r w:rsidR="00CF5FA5" w:rsidRPr="00AA7B00">
        <w:rPr>
          <w:rFonts w:ascii="Times New Roman" w:eastAsia="Times New Roman" w:hAnsi="Times New Roman" w:cs="Times New Roman"/>
          <w:b/>
          <w:sz w:val="28"/>
          <w:szCs w:val="28"/>
          <w:lang w:val="ro-MD"/>
        </w:rPr>
        <w:t>.</w:t>
      </w:r>
      <w:r w:rsidR="00CF5FA5" w:rsidRPr="00AA7B00">
        <w:rPr>
          <w:rFonts w:ascii="Times New Roman" w:eastAsia="Times New Roman" w:hAnsi="Times New Roman" w:cs="Times New Roman"/>
          <w:sz w:val="28"/>
          <w:szCs w:val="28"/>
          <w:lang w:val="ro-MD"/>
        </w:rPr>
        <w:t xml:space="preserve"> </w:t>
      </w:r>
      <w:r w:rsidR="00CD2407" w:rsidRPr="00AA7B00">
        <w:rPr>
          <w:rFonts w:ascii="Times New Roman" w:eastAsia="Times New Roman" w:hAnsi="Times New Roman" w:cs="Times New Roman"/>
          <w:sz w:val="28"/>
          <w:szCs w:val="28"/>
          <w:lang w:val="ro-MD"/>
        </w:rPr>
        <w:t>Plata p</w:t>
      </w:r>
      <w:r w:rsidR="00CF5FA5" w:rsidRPr="00AA7B00">
        <w:rPr>
          <w:rFonts w:ascii="Times New Roman" w:hAnsi="Times New Roman" w:cs="Times New Roman"/>
          <w:sz w:val="28"/>
          <w:szCs w:val="28"/>
          <w:lang w:val="ro-MD"/>
        </w:rPr>
        <w:t xml:space="preserve">entru întocmirea şi eliberarea listei </w:t>
      </w:r>
      <w:r w:rsidR="00E26F57" w:rsidRPr="00AA7B00">
        <w:rPr>
          <w:rFonts w:ascii="Times New Roman" w:hAnsi="Times New Roman" w:cs="Times New Roman"/>
          <w:sz w:val="28"/>
          <w:szCs w:val="28"/>
          <w:lang w:val="ro-MD"/>
        </w:rPr>
        <w:t>acționarilor</w:t>
      </w:r>
      <w:r w:rsidR="00CF5FA5" w:rsidRPr="00AA7B00">
        <w:rPr>
          <w:rFonts w:ascii="Times New Roman" w:hAnsi="Times New Roman" w:cs="Times New Roman"/>
          <w:sz w:val="28"/>
          <w:szCs w:val="28"/>
          <w:lang w:val="ro-MD"/>
        </w:rPr>
        <w:t xml:space="preserve"> în conformitate cu prevederile legislaţiei se stabileşte în funcţie de numărul </w:t>
      </w:r>
      <w:r w:rsidR="00CF5FA5" w:rsidRPr="00AA7B00">
        <w:rPr>
          <w:rFonts w:ascii="Times New Roman" w:eastAsia="Times New Roman" w:hAnsi="Times New Roman" w:cs="Times New Roman"/>
          <w:sz w:val="28"/>
          <w:szCs w:val="28"/>
          <w:lang w:val="ro-MD"/>
        </w:rPr>
        <w:t>de acționari</w:t>
      </w:r>
      <w:r w:rsidR="00E26F57" w:rsidRPr="00AA7B00">
        <w:rPr>
          <w:rFonts w:ascii="Times New Roman" w:eastAsia="Times New Roman" w:hAnsi="Times New Roman" w:cs="Times New Roman"/>
          <w:sz w:val="28"/>
          <w:szCs w:val="28"/>
          <w:lang w:val="ro-MD"/>
        </w:rPr>
        <w:t xml:space="preserve"> înregistrați în registrul </w:t>
      </w:r>
      <w:r w:rsidR="00A02934" w:rsidRPr="00AA7B00">
        <w:rPr>
          <w:rFonts w:ascii="Times New Roman" w:eastAsia="Times New Roman" w:hAnsi="Times New Roman" w:cs="Times New Roman"/>
          <w:sz w:val="28"/>
          <w:szCs w:val="28"/>
          <w:lang w:val="ro-MD"/>
        </w:rPr>
        <w:t xml:space="preserve">acționarilor </w:t>
      </w:r>
      <w:r w:rsidR="00E26F57" w:rsidRPr="00AA7B00">
        <w:rPr>
          <w:rFonts w:ascii="Times New Roman" w:eastAsia="Times New Roman" w:hAnsi="Times New Roman" w:cs="Times New Roman"/>
          <w:sz w:val="28"/>
          <w:szCs w:val="28"/>
          <w:lang w:val="ro-MD"/>
        </w:rPr>
        <w:t>emitentului, după cum urmează:</w:t>
      </w:r>
    </w:p>
    <w:tbl>
      <w:tblPr>
        <w:tblW w:w="7500" w:type="dxa"/>
        <w:jc w:val="center"/>
        <w:tblCellMar>
          <w:top w:w="15" w:type="dxa"/>
          <w:left w:w="15" w:type="dxa"/>
          <w:bottom w:w="15" w:type="dxa"/>
          <w:right w:w="15" w:type="dxa"/>
        </w:tblCellMar>
        <w:tblLook w:val="04A0" w:firstRow="1" w:lastRow="0" w:firstColumn="1" w:lastColumn="0" w:noHBand="0" w:noVBand="1"/>
      </w:tblPr>
      <w:tblGrid>
        <w:gridCol w:w="3440"/>
        <w:gridCol w:w="4060"/>
      </w:tblGrid>
      <w:tr w:rsidR="00E26F57" w:rsidRPr="00AA7B00" w:rsidTr="00E26F5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rsidR="00E26F57" w:rsidRPr="00AA7B00" w:rsidRDefault="00E26F57" w:rsidP="00AA7B00">
            <w:pPr>
              <w:spacing w:after="0" w:line="240" w:lineRule="auto"/>
              <w:jc w:val="center"/>
              <w:rPr>
                <w:rFonts w:ascii="Times New Roman" w:eastAsia="Times New Roman" w:hAnsi="Times New Roman" w:cs="Times New Roman"/>
                <w:b/>
                <w:bCs/>
                <w:sz w:val="28"/>
                <w:szCs w:val="28"/>
                <w:lang w:val="ro-MD" w:eastAsia="ro-RO"/>
              </w:rPr>
            </w:pPr>
            <w:r w:rsidRPr="00AA7B00">
              <w:rPr>
                <w:rFonts w:ascii="Times New Roman" w:eastAsia="Times New Roman" w:hAnsi="Times New Roman" w:cs="Times New Roman"/>
                <w:b/>
                <w:bCs/>
                <w:sz w:val="28"/>
                <w:szCs w:val="28"/>
                <w:lang w:val="ro-MD" w:eastAsia="ro-RO"/>
              </w:rPr>
              <w:t>Numărul de acționari</w:t>
            </w:r>
            <w:r w:rsidR="005C0298" w:rsidRPr="00AA7B00">
              <w:rPr>
                <w:rFonts w:ascii="Times New Roman" w:eastAsia="Times New Roman" w:hAnsi="Times New Roman" w:cs="Times New Roman"/>
                <w:b/>
                <w:bCs/>
                <w:sz w:val="28"/>
                <w:szCs w:val="28"/>
                <w:lang w:val="ro-MD" w:eastAsia="ro-RO"/>
              </w:rPr>
              <w:t>, unități</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rsidR="00E26F57" w:rsidRPr="00AA7B00" w:rsidRDefault="00E26F57" w:rsidP="00AA7B00">
            <w:pPr>
              <w:spacing w:after="0" w:line="240" w:lineRule="auto"/>
              <w:jc w:val="center"/>
              <w:rPr>
                <w:rFonts w:ascii="Times New Roman" w:eastAsia="Times New Roman" w:hAnsi="Times New Roman" w:cs="Times New Roman"/>
                <w:b/>
                <w:bCs/>
                <w:sz w:val="28"/>
                <w:szCs w:val="28"/>
                <w:lang w:val="ro-MD" w:eastAsia="ro-RO"/>
              </w:rPr>
            </w:pPr>
            <w:r w:rsidRPr="00AA7B00">
              <w:rPr>
                <w:rFonts w:ascii="Times New Roman" w:eastAsia="Times New Roman" w:hAnsi="Times New Roman" w:cs="Times New Roman"/>
                <w:b/>
                <w:bCs/>
                <w:sz w:val="28"/>
                <w:szCs w:val="28"/>
                <w:lang w:val="ro-MD" w:eastAsia="ro-RO"/>
              </w:rPr>
              <w:t>Preţ de până la, lei</w:t>
            </w:r>
          </w:p>
        </w:tc>
      </w:tr>
      <w:tr w:rsidR="00E26F57" w:rsidRPr="00AA7B00" w:rsidTr="00D32AB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26F57" w:rsidRPr="00AA7B00" w:rsidRDefault="00E26F57"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până la 100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26F57" w:rsidRPr="00AA7B00" w:rsidRDefault="00E26F57"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300</w:t>
            </w:r>
          </w:p>
        </w:tc>
      </w:tr>
      <w:tr w:rsidR="00E26F57" w:rsidRPr="00AA7B00" w:rsidTr="00D32AB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26F57" w:rsidRPr="00AA7B00" w:rsidRDefault="00E26F57"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de la 101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26F57" w:rsidRPr="00AA7B00" w:rsidRDefault="00E26F57"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300+0,5 pentru fiecare</w:t>
            </w:r>
            <w:r w:rsidRPr="00AA7B00">
              <w:rPr>
                <w:rFonts w:ascii="Times New Roman" w:eastAsia="Times New Roman" w:hAnsi="Times New Roman" w:cs="Times New Roman"/>
                <w:sz w:val="28"/>
                <w:szCs w:val="28"/>
                <w:lang w:val="ro-MD" w:eastAsia="ro-RO"/>
              </w:rPr>
              <w:br/>
              <w:t>acționar ce depăşeşte numărul de 100</w:t>
            </w:r>
          </w:p>
        </w:tc>
      </w:tr>
    </w:tbl>
    <w:p w:rsidR="0026383D" w:rsidRPr="00AA7B00" w:rsidRDefault="0026383D" w:rsidP="00AA7B00">
      <w:pPr>
        <w:spacing w:after="0" w:line="240" w:lineRule="auto"/>
        <w:jc w:val="center"/>
        <w:rPr>
          <w:rFonts w:ascii="Times New Roman" w:eastAsia="Times New Roman" w:hAnsi="Times New Roman" w:cs="Times New Roman"/>
          <w:b/>
          <w:bCs/>
          <w:sz w:val="28"/>
          <w:szCs w:val="28"/>
          <w:lang w:val="ro-MD"/>
        </w:rPr>
      </w:pPr>
    </w:p>
    <w:p w:rsidR="00AC6BB2" w:rsidRPr="00AA7B00" w:rsidRDefault="00AC6BB2"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bCs/>
          <w:sz w:val="28"/>
          <w:szCs w:val="28"/>
          <w:lang w:val="ro-MD"/>
        </w:rPr>
        <w:t xml:space="preserve">II. </w:t>
      </w:r>
      <w:r w:rsidR="00FC1B08" w:rsidRPr="00AA7B00">
        <w:rPr>
          <w:rFonts w:ascii="Times New Roman" w:eastAsia="Times New Roman" w:hAnsi="Times New Roman" w:cs="Times New Roman"/>
          <w:b/>
          <w:bCs/>
          <w:sz w:val="28"/>
          <w:szCs w:val="28"/>
          <w:lang w:val="ro-MD"/>
        </w:rPr>
        <w:t>Cuantumul maxim al taxelor p</w:t>
      </w:r>
      <w:r w:rsidRPr="00AA7B00">
        <w:rPr>
          <w:rFonts w:ascii="Times New Roman" w:eastAsia="Times New Roman" w:hAnsi="Times New Roman" w:cs="Times New Roman"/>
          <w:b/>
          <w:bCs/>
          <w:sz w:val="28"/>
          <w:szCs w:val="28"/>
          <w:lang w:val="ro-MD"/>
        </w:rPr>
        <w:t>entru serviciile acordate emitentului</w:t>
      </w:r>
    </w:p>
    <w:p w:rsidR="00AC6BB2" w:rsidRPr="00AA7B00" w:rsidRDefault="00AC6BB2"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5C0298" w:rsidRPr="00AA7B00">
        <w:rPr>
          <w:rFonts w:ascii="Times New Roman" w:eastAsia="Times New Roman" w:hAnsi="Times New Roman" w:cs="Times New Roman"/>
          <w:b/>
          <w:bCs/>
          <w:sz w:val="28"/>
          <w:szCs w:val="28"/>
          <w:lang w:val="ro-MD"/>
        </w:rPr>
        <w:t>0</w:t>
      </w:r>
      <w:r w:rsidRPr="00AA7B00">
        <w:rPr>
          <w:rFonts w:ascii="Times New Roman" w:eastAsia="Times New Roman" w:hAnsi="Times New Roman" w:cs="Times New Roman"/>
          <w:b/>
          <w:bCs/>
          <w:sz w:val="28"/>
          <w:szCs w:val="28"/>
          <w:lang w:val="ro-MD"/>
        </w:rPr>
        <w:t>.</w:t>
      </w:r>
      <w:r w:rsidRPr="00AA7B00">
        <w:rPr>
          <w:rFonts w:ascii="Times New Roman" w:eastAsia="Times New Roman" w:hAnsi="Times New Roman" w:cs="Times New Roman"/>
          <w:sz w:val="28"/>
          <w:szCs w:val="28"/>
          <w:lang w:val="ro-MD"/>
        </w:rPr>
        <w:t xml:space="preserve"> Cuantumul plăţii lunare de abonament pentru ţinerea registrului </w:t>
      </w:r>
      <w:r w:rsidR="00E26F57" w:rsidRPr="00AA7B00">
        <w:rPr>
          <w:rFonts w:ascii="Times New Roman" w:eastAsia="Times New Roman" w:hAnsi="Times New Roman" w:cs="Times New Roman"/>
          <w:sz w:val="28"/>
          <w:szCs w:val="28"/>
          <w:lang w:val="ro-MD"/>
        </w:rPr>
        <w:t>acționarilor</w:t>
      </w:r>
      <w:r w:rsidRPr="00AA7B00">
        <w:rPr>
          <w:rFonts w:ascii="Times New Roman" w:eastAsia="Times New Roman" w:hAnsi="Times New Roman" w:cs="Times New Roman"/>
          <w:sz w:val="28"/>
          <w:szCs w:val="28"/>
          <w:lang w:val="ro-MD"/>
        </w:rPr>
        <w:t xml:space="preserve">, cu excepţia registrelor </w:t>
      </w:r>
      <w:r w:rsidR="00E26F57" w:rsidRPr="00AA7B00">
        <w:rPr>
          <w:rFonts w:ascii="Times New Roman" w:eastAsia="Times New Roman" w:hAnsi="Times New Roman" w:cs="Times New Roman"/>
          <w:sz w:val="28"/>
          <w:szCs w:val="28"/>
          <w:lang w:val="ro-MD"/>
        </w:rPr>
        <w:t>acționarilor</w:t>
      </w:r>
      <w:r w:rsidRPr="00AA7B00">
        <w:rPr>
          <w:rFonts w:ascii="Times New Roman" w:eastAsia="Times New Roman" w:hAnsi="Times New Roman" w:cs="Times New Roman"/>
          <w:sz w:val="28"/>
          <w:szCs w:val="28"/>
          <w:lang w:val="ro-MD"/>
        </w:rPr>
        <w:t xml:space="preserve"> fondurilor de investiţii nemutuale şi pentru privatizare, se stabileşte în funcţie de numărul de </w:t>
      </w:r>
      <w:r w:rsidR="0026589E" w:rsidRPr="00AA7B00">
        <w:rPr>
          <w:rFonts w:ascii="Times New Roman" w:eastAsia="Times New Roman" w:hAnsi="Times New Roman" w:cs="Times New Roman"/>
          <w:sz w:val="28"/>
          <w:szCs w:val="28"/>
          <w:lang w:val="ro-MD"/>
        </w:rPr>
        <w:t>acționari</w:t>
      </w:r>
      <w:r w:rsidR="00533FC0" w:rsidRPr="00AA7B00">
        <w:rPr>
          <w:rFonts w:ascii="Times New Roman" w:eastAsia="Times New Roman" w:hAnsi="Times New Roman" w:cs="Times New Roman"/>
          <w:sz w:val="28"/>
          <w:szCs w:val="28"/>
          <w:lang w:val="ro-MD"/>
        </w:rPr>
        <w:t>,</w:t>
      </w:r>
      <w:r w:rsidR="0026589E" w:rsidRPr="00AA7B00">
        <w:rPr>
          <w:rFonts w:ascii="Times New Roman" w:eastAsia="Times New Roman" w:hAnsi="Times New Roman" w:cs="Times New Roman"/>
          <w:sz w:val="28"/>
          <w:szCs w:val="28"/>
          <w:lang w:val="ro-MD"/>
        </w:rPr>
        <w:t xml:space="preserve"> </w:t>
      </w:r>
      <w:r w:rsidR="005C0298" w:rsidRPr="00AA7B00">
        <w:rPr>
          <w:rFonts w:ascii="Times New Roman" w:eastAsia="Times New Roman" w:hAnsi="Times New Roman" w:cs="Times New Roman"/>
          <w:sz w:val="28"/>
          <w:szCs w:val="28"/>
          <w:lang w:val="ro-MD"/>
        </w:rPr>
        <w:t>după cum urmează:</w:t>
      </w:r>
    </w:p>
    <w:tbl>
      <w:tblPr>
        <w:tblW w:w="8639" w:type="dxa"/>
        <w:jc w:val="center"/>
        <w:tblCellMar>
          <w:top w:w="15" w:type="dxa"/>
          <w:left w:w="15" w:type="dxa"/>
          <w:bottom w:w="15" w:type="dxa"/>
          <w:right w:w="15" w:type="dxa"/>
        </w:tblCellMar>
        <w:tblLook w:val="04A0" w:firstRow="1" w:lastRow="0" w:firstColumn="1" w:lastColumn="0" w:noHBand="0" w:noVBand="1"/>
      </w:tblPr>
      <w:tblGrid>
        <w:gridCol w:w="3678"/>
        <w:gridCol w:w="4961"/>
      </w:tblGrid>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b/>
                <w:bCs/>
                <w:sz w:val="28"/>
                <w:szCs w:val="28"/>
                <w:lang w:val="ro-MD" w:eastAsia="ro-RO"/>
              </w:rPr>
            </w:pPr>
            <w:r w:rsidRPr="00AA7B00">
              <w:rPr>
                <w:rFonts w:ascii="Times New Roman" w:eastAsia="Times New Roman" w:hAnsi="Times New Roman" w:cs="Times New Roman"/>
                <w:b/>
                <w:bCs/>
                <w:sz w:val="28"/>
                <w:szCs w:val="28"/>
                <w:lang w:val="ro-MD" w:eastAsia="ro-RO"/>
              </w:rPr>
              <w:t>Numărul de acționari, unităţi</w:t>
            </w:r>
          </w:p>
        </w:tc>
        <w:tc>
          <w:tcPr>
            <w:tcW w:w="49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b/>
                <w:bCs/>
                <w:sz w:val="28"/>
                <w:szCs w:val="28"/>
                <w:lang w:val="ro-MD" w:eastAsia="ro-RO"/>
              </w:rPr>
            </w:pPr>
            <w:r w:rsidRPr="00AA7B00">
              <w:rPr>
                <w:rFonts w:ascii="Times New Roman" w:eastAsia="Times New Roman" w:hAnsi="Times New Roman" w:cs="Times New Roman"/>
                <w:b/>
                <w:bCs/>
                <w:sz w:val="28"/>
                <w:szCs w:val="28"/>
                <w:lang w:val="ro-MD" w:eastAsia="ro-RO"/>
              </w:rPr>
              <w:t>Preţ de până la, lei</w:t>
            </w:r>
          </w:p>
        </w:tc>
      </w:tr>
      <w:tr w:rsidR="005C0298" w:rsidRPr="00AA7B00" w:rsidTr="00264FC2">
        <w:trPr>
          <w:trHeight w:val="200"/>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până la 50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400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51</w:t>
            </w:r>
            <w:r w:rsidR="00FC1B08" w:rsidRPr="00AA7B00">
              <w:rPr>
                <w:rFonts w:ascii="Times New Roman" w:eastAsia="Times New Roman" w:hAnsi="Times New Roman" w:cs="Times New Roman"/>
                <w:sz w:val="28"/>
                <w:szCs w:val="28"/>
                <w:lang w:val="ro-MD" w:eastAsia="ro-RO"/>
              </w:rPr>
              <w:t xml:space="preserve">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100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500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101</w:t>
            </w:r>
            <w:r w:rsidR="00FC1B08" w:rsidRPr="00AA7B00">
              <w:rPr>
                <w:rFonts w:ascii="Times New Roman" w:eastAsia="Times New Roman" w:hAnsi="Times New Roman" w:cs="Times New Roman"/>
                <w:sz w:val="28"/>
                <w:szCs w:val="28"/>
                <w:lang w:val="ro-MD" w:eastAsia="ro-RO"/>
              </w:rPr>
              <w:t xml:space="preserve">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300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700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301</w:t>
            </w:r>
            <w:r w:rsidR="00FC1B08" w:rsidRPr="00AA7B00">
              <w:rPr>
                <w:rFonts w:ascii="Times New Roman" w:eastAsia="Times New Roman" w:hAnsi="Times New Roman" w:cs="Times New Roman"/>
                <w:sz w:val="28"/>
                <w:szCs w:val="28"/>
                <w:lang w:val="ro-MD" w:eastAsia="ro-RO"/>
              </w:rPr>
              <w:t xml:space="preserve">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500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900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 xml:space="preserve">501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700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1</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300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701</w:t>
            </w:r>
            <w:r w:rsidR="00FC1B08" w:rsidRPr="00AA7B00">
              <w:rPr>
                <w:rFonts w:ascii="Times New Roman" w:eastAsia="Times New Roman" w:hAnsi="Times New Roman" w:cs="Times New Roman"/>
                <w:sz w:val="28"/>
                <w:szCs w:val="28"/>
                <w:lang w:val="ro-MD" w:eastAsia="ro-RO"/>
              </w:rPr>
              <w:t xml:space="preserve">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1</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000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1</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700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1001</w:t>
            </w:r>
            <w:r w:rsidR="00FC1B08" w:rsidRPr="00AA7B00">
              <w:rPr>
                <w:rFonts w:ascii="Times New Roman" w:eastAsia="Times New Roman" w:hAnsi="Times New Roman" w:cs="Times New Roman"/>
                <w:sz w:val="28"/>
                <w:szCs w:val="28"/>
                <w:lang w:val="ro-MD" w:eastAsia="ro-RO"/>
              </w:rPr>
              <w:t xml:space="preserve">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1</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500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1</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800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1501</w:t>
            </w:r>
            <w:r w:rsidR="00FC1B08" w:rsidRPr="00AA7B00">
              <w:rPr>
                <w:rFonts w:ascii="Times New Roman" w:eastAsia="Times New Roman" w:hAnsi="Times New Roman" w:cs="Times New Roman"/>
                <w:sz w:val="28"/>
                <w:szCs w:val="28"/>
                <w:lang w:val="ro-MD" w:eastAsia="ro-RO"/>
              </w:rPr>
              <w:t xml:space="preserve">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2</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000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2</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200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2001</w:t>
            </w:r>
            <w:r w:rsidR="00FC1B08" w:rsidRPr="00AA7B00">
              <w:rPr>
                <w:rFonts w:ascii="Times New Roman" w:eastAsia="Times New Roman" w:hAnsi="Times New Roman" w:cs="Times New Roman"/>
                <w:sz w:val="28"/>
                <w:szCs w:val="28"/>
                <w:lang w:val="ro-MD" w:eastAsia="ro-RO"/>
              </w:rPr>
              <w:t xml:space="preserve"> </w:t>
            </w:r>
            <w:r w:rsidR="00FC1B08" w:rsidRPr="00AA7B00">
              <w:rPr>
                <w:rFonts w:ascii="Times New Roman" w:eastAsia="Times New Roman" w:hAnsi="Times New Roman" w:cs="Times New Roman"/>
                <w:sz w:val="28"/>
                <w:szCs w:val="28"/>
                <w:lang w:val="ro-MD"/>
              </w:rPr>
              <w:t>–</w:t>
            </w:r>
            <w:r w:rsidR="00FC1B0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3</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000</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3</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000</w:t>
            </w:r>
          </w:p>
        </w:tc>
      </w:tr>
      <w:tr w:rsidR="005C0298" w:rsidRPr="00AA7B00" w:rsidTr="005C0298">
        <w:trPr>
          <w:jc w:val="center"/>
        </w:trPr>
        <w:tc>
          <w:tcPr>
            <w:tcW w:w="367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de la 3</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001</w:t>
            </w:r>
          </w:p>
        </w:tc>
        <w:tc>
          <w:tcPr>
            <w:tcW w:w="49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3</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 xml:space="preserve">000+0,2 pentru fiecare acționar </w:t>
            </w:r>
          </w:p>
          <w:p w:rsidR="005C0298" w:rsidRPr="00AA7B00" w:rsidRDefault="005C0298" w:rsidP="00AA7B00">
            <w:pPr>
              <w:spacing w:after="0" w:line="240" w:lineRule="auto"/>
              <w:jc w:val="center"/>
              <w:rPr>
                <w:rFonts w:ascii="Times New Roman" w:eastAsia="Times New Roman" w:hAnsi="Times New Roman" w:cs="Times New Roman"/>
                <w:sz w:val="28"/>
                <w:szCs w:val="28"/>
                <w:lang w:val="ro-MD" w:eastAsia="ro-RO"/>
              </w:rPr>
            </w:pPr>
            <w:r w:rsidRPr="00AA7B00">
              <w:rPr>
                <w:rFonts w:ascii="Times New Roman" w:eastAsia="Times New Roman" w:hAnsi="Times New Roman" w:cs="Times New Roman"/>
                <w:sz w:val="28"/>
                <w:szCs w:val="28"/>
                <w:lang w:val="ro-MD" w:eastAsia="ro-RO"/>
              </w:rPr>
              <w:t>ce depăşeşte numărul de 3</w:t>
            </w:r>
            <w:r w:rsidR="001863B8"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eastAsia="ro-RO"/>
              </w:rPr>
              <w:t>000</w:t>
            </w:r>
          </w:p>
        </w:tc>
      </w:tr>
    </w:tbl>
    <w:p w:rsidR="00714AB3" w:rsidRPr="00AA7B00" w:rsidRDefault="0026589E"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5C0298" w:rsidRPr="00AA7B00">
        <w:rPr>
          <w:rFonts w:ascii="Times New Roman" w:eastAsia="Times New Roman" w:hAnsi="Times New Roman" w:cs="Times New Roman"/>
          <w:b/>
          <w:bCs/>
          <w:sz w:val="28"/>
          <w:szCs w:val="28"/>
          <w:lang w:val="ro-MD"/>
        </w:rPr>
        <w:t>1</w:t>
      </w:r>
      <w:r w:rsidRPr="00AA7B00">
        <w:rPr>
          <w:rFonts w:ascii="Times New Roman" w:eastAsia="Times New Roman" w:hAnsi="Times New Roman" w:cs="Times New Roman"/>
          <w:b/>
          <w:bCs/>
          <w:sz w:val="28"/>
          <w:szCs w:val="28"/>
          <w:lang w:val="ro-MD"/>
        </w:rPr>
        <w:t xml:space="preserve">. </w:t>
      </w:r>
      <w:r w:rsidR="00714AB3" w:rsidRPr="00AA7B00">
        <w:rPr>
          <w:rFonts w:ascii="Times New Roman" w:eastAsia="Times New Roman" w:hAnsi="Times New Roman" w:cs="Times New Roman"/>
          <w:bCs/>
          <w:sz w:val="28"/>
          <w:szCs w:val="28"/>
          <w:lang w:val="ro-MD"/>
        </w:rPr>
        <w:t>În plata lunară de abonament</w:t>
      </w:r>
      <w:r w:rsidR="001863B8" w:rsidRPr="00AA7B00">
        <w:rPr>
          <w:rFonts w:ascii="Times New Roman" w:eastAsia="Times New Roman" w:hAnsi="Times New Roman" w:cs="Times New Roman"/>
          <w:bCs/>
          <w:sz w:val="28"/>
          <w:szCs w:val="28"/>
          <w:lang w:val="ro-MD"/>
        </w:rPr>
        <w:t>,</w:t>
      </w:r>
      <w:r w:rsidR="00714AB3" w:rsidRPr="00AA7B00">
        <w:rPr>
          <w:rFonts w:ascii="Times New Roman" w:eastAsia="Times New Roman" w:hAnsi="Times New Roman" w:cs="Times New Roman"/>
          <w:bCs/>
          <w:sz w:val="28"/>
          <w:szCs w:val="28"/>
          <w:lang w:val="ro-MD"/>
        </w:rPr>
        <w:t xml:space="preserve"> conform pct.</w:t>
      </w:r>
      <w:r w:rsidR="0026383D" w:rsidRPr="00AA7B00">
        <w:rPr>
          <w:rFonts w:ascii="Times New Roman" w:eastAsia="Times New Roman" w:hAnsi="Times New Roman" w:cs="Times New Roman"/>
          <w:bCs/>
          <w:sz w:val="28"/>
          <w:szCs w:val="28"/>
          <w:lang w:val="ro-MD"/>
        </w:rPr>
        <w:t xml:space="preserve"> </w:t>
      </w:r>
      <w:r w:rsidR="00714AB3" w:rsidRPr="00AA7B00">
        <w:rPr>
          <w:rFonts w:ascii="Times New Roman" w:eastAsia="Times New Roman" w:hAnsi="Times New Roman" w:cs="Times New Roman"/>
          <w:bCs/>
          <w:sz w:val="28"/>
          <w:szCs w:val="28"/>
          <w:lang w:val="ro-MD"/>
        </w:rPr>
        <w:t>10</w:t>
      </w:r>
      <w:r w:rsidR="001863B8" w:rsidRPr="00AA7B00">
        <w:rPr>
          <w:rFonts w:ascii="Times New Roman" w:eastAsia="Times New Roman" w:hAnsi="Times New Roman" w:cs="Times New Roman"/>
          <w:bCs/>
          <w:sz w:val="28"/>
          <w:szCs w:val="28"/>
          <w:lang w:val="ro-MD"/>
        </w:rPr>
        <w:t>,</w:t>
      </w:r>
      <w:r w:rsidR="00714AB3" w:rsidRPr="00AA7B00">
        <w:rPr>
          <w:rFonts w:ascii="Times New Roman" w:eastAsia="Times New Roman" w:hAnsi="Times New Roman" w:cs="Times New Roman"/>
          <w:bCs/>
          <w:sz w:val="28"/>
          <w:szCs w:val="28"/>
          <w:lang w:val="ro-MD"/>
        </w:rPr>
        <w:t xml:space="preserve"> se includ </w:t>
      </w:r>
      <w:r w:rsidR="00714AB3" w:rsidRPr="00AA7B00">
        <w:rPr>
          <w:rFonts w:ascii="Times New Roman" w:eastAsia="Times New Roman" w:hAnsi="Times New Roman" w:cs="Times New Roman"/>
          <w:sz w:val="28"/>
          <w:szCs w:val="28"/>
          <w:lang w:val="ro-MD"/>
        </w:rPr>
        <w:t>serviciile pentru formarea registrului</w:t>
      </w:r>
      <w:r w:rsidR="00A02934" w:rsidRPr="00AA7B00">
        <w:rPr>
          <w:rFonts w:ascii="Times New Roman" w:eastAsia="Times New Roman" w:hAnsi="Times New Roman" w:cs="Times New Roman"/>
          <w:sz w:val="28"/>
          <w:szCs w:val="28"/>
          <w:lang w:val="ro-MD"/>
        </w:rPr>
        <w:t xml:space="preserve"> acționarilor</w:t>
      </w:r>
      <w:r w:rsidR="00714AB3" w:rsidRPr="00AA7B00">
        <w:rPr>
          <w:rFonts w:ascii="Times New Roman" w:eastAsia="Times New Roman" w:hAnsi="Times New Roman" w:cs="Times New Roman"/>
          <w:sz w:val="28"/>
          <w:szCs w:val="28"/>
          <w:lang w:val="ro-MD"/>
        </w:rPr>
        <w:t>, întocmirea şi eliberarea listei acționarilor pentru adunarea generală a acţionarilor (o dată pe an), evidenţa documentelor pe purtători de hârtie, verificarea corectitudinii documentelor cu privire la ţinerea registrului acționarilor, verificarea corectitudinii informaţiei introduse în registrul acționarilor, asigurarea protecţiei informaţiei din registrul acționarilor de acces nesancţionat, testarea şi arhivarea</w:t>
      </w:r>
      <w:r w:rsidR="001863B8" w:rsidRPr="00AA7B00">
        <w:rPr>
          <w:rFonts w:ascii="Times New Roman" w:eastAsia="Times New Roman" w:hAnsi="Times New Roman" w:cs="Times New Roman"/>
          <w:sz w:val="28"/>
          <w:szCs w:val="28"/>
          <w:lang w:val="ro-MD"/>
        </w:rPr>
        <w:t>,</w:t>
      </w:r>
      <w:r w:rsidR="00714AB3" w:rsidRPr="00AA7B00">
        <w:rPr>
          <w:rFonts w:ascii="Times New Roman" w:eastAsia="Times New Roman" w:hAnsi="Times New Roman" w:cs="Times New Roman"/>
          <w:sz w:val="28"/>
          <w:szCs w:val="28"/>
          <w:lang w:val="ro-MD"/>
        </w:rPr>
        <w:t xml:space="preserve"> în mod regulat</w:t>
      </w:r>
      <w:r w:rsidR="001863B8" w:rsidRPr="00AA7B00">
        <w:rPr>
          <w:rFonts w:ascii="Times New Roman" w:eastAsia="Times New Roman" w:hAnsi="Times New Roman" w:cs="Times New Roman"/>
          <w:sz w:val="28"/>
          <w:szCs w:val="28"/>
          <w:lang w:val="ro-MD"/>
        </w:rPr>
        <w:t>,</w:t>
      </w:r>
      <w:r w:rsidR="00714AB3" w:rsidRPr="00AA7B00">
        <w:rPr>
          <w:rFonts w:ascii="Times New Roman" w:eastAsia="Times New Roman" w:hAnsi="Times New Roman" w:cs="Times New Roman"/>
          <w:sz w:val="28"/>
          <w:szCs w:val="28"/>
          <w:lang w:val="ro-MD"/>
        </w:rPr>
        <w:t xml:space="preserve"> a bazei de date a registrului</w:t>
      </w:r>
      <w:r w:rsidR="00A02934" w:rsidRPr="00AA7B00">
        <w:rPr>
          <w:rFonts w:ascii="Times New Roman" w:eastAsia="Times New Roman" w:hAnsi="Times New Roman" w:cs="Times New Roman"/>
          <w:sz w:val="28"/>
          <w:szCs w:val="28"/>
          <w:lang w:val="ro-MD"/>
        </w:rPr>
        <w:t xml:space="preserve"> acționarilor</w:t>
      </w:r>
      <w:r w:rsidR="00714AB3" w:rsidRPr="00AA7B00">
        <w:rPr>
          <w:rFonts w:ascii="Times New Roman" w:eastAsia="Times New Roman" w:hAnsi="Times New Roman" w:cs="Times New Roman"/>
          <w:sz w:val="28"/>
          <w:szCs w:val="28"/>
          <w:lang w:val="ro-MD"/>
        </w:rPr>
        <w:t xml:space="preserve"> pe suport electronic, copierea</w:t>
      </w:r>
      <w:r w:rsidR="001863B8" w:rsidRPr="00AA7B00">
        <w:rPr>
          <w:rFonts w:ascii="Times New Roman" w:eastAsia="Times New Roman" w:hAnsi="Times New Roman" w:cs="Times New Roman"/>
          <w:sz w:val="28"/>
          <w:szCs w:val="28"/>
          <w:lang w:val="ro-MD"/>
        </w:rPr>
        <w:t>,</w:t>
      </w:r>
      <w:r w:rsidR="00714AB3" w:rsidRPr="00AA7B00">
        <w:rPr>
          <w:rFonts w:ascii="Times New Roman" w:eastAsia="Times New Roman" w:hAnsi="Times New Roman" w:cs="Times New Roman"/>
          <w:sz w:val="28"/>
          <w:szCs w:val="28"/>
          <w:lang w:val="ro-MD"/>
        </w:rPr>
        <w:t xml:space="preserve"> în mod regulat</w:t>
      </w:r>
      <w:r w:rsidR="001863B8" w:rsidRPr="00AA7B00">
        <w:rPr>
          <w:rFonts w:ascii="Times New Roman" w:eastAsia="Times New Roman" w:hAnsi="Times New Roman" w:cs="Times New Roman"/>
          <w:sz w:val="28"/>
          <w:szCs w:val="28"/>
          <w:lang w:val="ro-MD"/>
        </w:rPr>
        <w:t>,</w:t>
      </w:r>
      <w:r w:rsidR="00714AB3" w:rsidRPr="00AA7B00">
        <w:rPr>
          <w:rFonts w:ascii="Times New Roman" w:eastAsia="Times New Roman" w:hAnsi="Times New Roman" w:cs="Times New Roman"/>
          <w:sz w:val="28"/>
          <w:szCs w:val="28"/>
          <w:lang w:val="ro-MD"/>
        </w:rPr>
        <w:t xml:space="preserve"> a bazei de date a registrului </w:t>
      </w:r>
      <w:r w:rsidR="00A02934" w:rsidRPr="00AA7B00">
        <w:rPr>
          <w:rFonts w:ascii="Times New Roman" w:eastAsia="Times New Roman" w:hAnsi="Times New Roman" w:cs="Times New Roman"/>
          <w:sz w:val="28"/>
          <w:szCs w:val="28"/>
          <w:lang w:val="ro-MD"/>
        </w:rPr>
        <w:t xml:space="preserve">acționarilor </w:t>
      </w:r>
      <w:r w:rsidR="00714AB3" w:rsidRPr="00AA7B00">
        <w:rPr>
          <w:rFonts w:ascii="Times New Roman" w:eastAsia="Times New Roman" w:hAnsi="Times New Roman" w:cs="Times New Roman"/>
          <w:sz w:val="28"/>
          <w:szCs w:val="28"/>
          <w:lang w:val="ro-MD"/>
        </w:rPr>
        <w:t xml:space="preserve">pe suport electronic şi asigurarea existenţei a nu mai puţin de 2 copii a bazei de date, confruntarea cu emitentul a balanţei acţiunilor ei, păstrarea, pe termenul prevăzut de actele normative ale CNPF, a arhivei documentelor aferente emitentului și </w:t>
      </w:r>
      <w:r w:rsidR="00227869" w:rsidRPr="00AA7B00">
        <w:rPr>
          <w:rFonts w:ascii="Times New Roman" w:eastAsia="Times New Roman" w:hAnsi="Times New Roman" w:cs="Times New Roman"/>
          <w:sz w:val="28"/>
          <w:szCs w:val="28"/>
          <w:lang w:val="ro-MD"/>
        </w:rPr>
        <w:t xml:space="preserve">a </w:t>
      </w:r>
      <w:r w:rsidR="00714AB3" w:rsidRPr="00AA7B00">
        <w:rPr>
          <w:rFonts w:ascii="Times New Roman" w:eastAsia="Times New Roman" w:hAnsi="Times New Roman" w:cs="Times New Roman"/>
          <w:sz w:val="28"/>
          <w:szCs w:val="28"/>
          <w:lang w:val="ro-MD"/>
        </w:rPr>
        <w:t>registrului acționarilor</w:t>
      </w:r>
      <w:r w:rsidR="001863B8" w:rsidRPr="00AA7B00">
        <w:rPr>
          <w:rFonts w:ascii="Times New Roman" w:eastAsia="Times New Roman" w:hAnsi="Times New Roman" w:cs="Times New Roman"/>
          <w:sz w:val="28"/>
          <w:szCs w:val="28"/>
          <w:lang w:val="ro-MD"/>
        </w:rPr>
        <w:t>,</w:t>
      </w:r>
      <w:r w:rsidR="00714AB3" w:rsidRPr="00AA7B00">
        <w:rPr>
          <w:rFonts w:ascii="Times New Roman" w:eastAsia="Times New Roman" w:hAnsi="Times New Roman" w:cs="Times New Roman"/>
          <w:sz w:val="28"/>
          <w:szCs w:val="28"/>
          <w:lang w:val="ro-MD"/>
        </w:rPr>
        <w:t xml:space="preserve"> ordonate conform cerințelor arhivei de stat.</w:t>
      </w:r>
    </w:p>
    <w:p w:rsidR="00AC6BB2" w:rsidRPr="00AA7B00" w:rsidRDefault="00714AB3"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 xml:space="preserve">12. </w:t>
      </w:r>
      <w:r w:rsidR="00AC6BB2" w:rsidRPr="00AA7B00">
        <w:rPr>
          <w:rFonts w:ascii="Times New Roman" w:eastAsia="Times New Roman" w:hAnsi="Times New Roman" w:cs="Times New Roman"/>
          <w:sz w:val="28"/>
          <w:szCs w:val="28"/>
          <w:lang w:val="ro-MD"/>
        </w:rPr>
        <w:t xml:space="preserve">Plata pentru întocmirea şi eliberarea listei </w:t>
      </w:r>
      <w:r w:rsidR="003E3838" w:rsidRPr="00AA7B00">
        <w:rPr>
          <w:rFonts w:ascii="Times New Roman" w:eastAsia="Times New Roman" w:hAnsi="Times New Roman" w:cs="Times New Roman"/>
          <w:sz w:val="28"/>
          <w:szCs w:val="28"/>
          <w:lang w:val="ro-MD"/>
        </w:rPr>
        <w:t>acționarilor</w:t>
      </w:r>
      <w:r w:rsidR="00AC6BB2" w:rsidRPr="00AA7B00">
        <w:rPr>
          <w:rFonts w:ascii="Times New Roman" w:eastAsia="Times New Roman" w:hAnsi="Times New Roman" w:cs="Times New Roman"/>
          <w:sz w:val="28"/>
          <w:szCs w:val="28"/>
          <w:lang w:val="ro-MD"/>
        </w:rPr>
        <w:t xml:space="preserve"> care au dreptul să participe la adunarea generală extraordinară a acţionarilor, inclusiv a listei cu modificările operate p</w:t>
      </w:r>
      <w:r w:rsidR="001C4082"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nă la data ţinerii adunării generale a acţionarilor, se stabileşte </w:t>
      </w:r>
      <w:r w:rsidR="003E3838" w:rsidRPr="00AA7B00">
        <w:rPr>
          <w:rFonts w:ascii="Times New Roman" w:eastAsia="Times New Roman" w:hAnsi="Times New Roman" w:cs="Times New Roman"/>
          <w:sz w:val="28"/>
          <w:szCs w:val="28"/>
          <w:lang w:val="ro-MD"/>
        </w:rPr>
        <w:t>conform pct.</w:t>
      </w:r>
      <w:r w:rsidR="003F37E4" w:rsidRPr="00AA7B00">
        <w:rPr>
          <w:rFonts w:ascii="Times New Roman" w:eastAsia="Times New Roman" w:hAnsi="Times New Roman" w:cs="Times New Roman"/>
          <w:sz w:val="28"/>
          <w:szCs w:val="28"/>
          <w:lang w:val="ro-MD"/>
        </w:rPr>
        <w:t xml:space="preserve"> </w:t>
      </w:r>
      <w:r w:rsidR="003E3838" w:rsidRPr="00AA7B00">
        <w:rPr>
          <w:rFonts w:ascii="Times New Roman" w:eastAsia="Times New Roman" w:hAnsi="Times New Roman" w:cs="Times New Roman"/>
          <w:sz w:val="28"/>
          <w:szCs w:val="28"/>
          <w:lang w:val="ro-MD"/>
        </w:rPr>
        <w:t>9</w:t>
      </w:r>
      <w:r w:rsidR="00AC6BB2" w:rsidRPr="00AA7B00">
        <w:rPr>
          <w:rFonts w:ascii="Times New Roman" w:eastAsia="Times New Roman" w:hAnsi="Times New Roman" w:cs="Times New Roman"/>
          <w:sz w:val="28"/>
          <w:szCs w:val="28"/>
          <w:lang w:val="ro-MD"/>
        </w:rPr>
        <w:t>.</w:t>
      </w:r>
    </w:p>
    <w:p w:rsidR="00AC6BB2" w:rsidRPr="00AA7B00" w:rsidRDefault="00CF5FA5"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714AB3" w:rsidRPr="00AA7B00">
        <w:rPr>
          <w:rFonts w:ascii="Times New Roman" w:eastAsia="Times New Roman" w:hAnsi="Times New Roman" w:cs="Times New Roman"/>
          <w:b/>
          <w:bCs/>
          <w:sz w:val="28"/>
          <w:szCs w:val="28"/>
          <w:lang w:val="ro-MD"/>
        </w:rPr>
        <w:t>3</w:t>
      </w:r>
      <w:r w:rsidR="00AC6BB2" w:rsidRPr="00AA7B00">
        <w:rPr>
          <w:rFonts w:ascii="Times New Roman" w:eastAsia="Times New Roman" w:hAnsi="Times New Roman" w:cs="Times New Roman"/>
          <w:b/>
          <w:bCs/>
          <w:sz w:val="28"/>
          <w:szCs w:val="28"/>
          <w:lang w:val="ro-MD"/>
        </w:rPr>
        <w:t>.</w:t>
      </w:r>
      <w:r w:rsidR="00AC6BB2" w:rsidRPr="00AA7B00">
        <w:rPr>
          <w:rFonts w:ascii="Times New Roman" w:eastAsia="Times New Roman" w:hAnsi="Times New Roman" w:cs="Times New Roman"/>
          <w:sz w:val="28"/>
          <w:szCs w:val="28"/>
          <w:lang w:val="ro-MD"/>
        </w:rPr>
        <w:t xml:space="preserve"> </w:t>
      </w:r>
      <w:r w:rsidR="00D25E8F" w:rsidRPr="00AA7B00">
        <w:rPr>
          <w:rFonts w:ascii="Times New Roman" w:eastAsia="Times New Roman" w:hAnsi="Times New Roman" w:cs="Times New Roman"/>
          <w:sz w:val="28"/>
          <w:szCs w:val="28"/>
          <w:lang w:val="ro-MD"/>
        </w:rPr>
        <w:t>P</w:t>
      </w:r>
      <w:r w:rsidR="00AC6BB2" w:rsidRPr="00AA7B00">
        <w:rPr>
          <w:rFonts w:ascii="Times New Roman" w:eastAsia="Times New Roman" w:hAnsi="Times New Roman" w:cs="Times New Roman"/>
          <w:sz w:val="28"/>
          <w:szCs w:val="28"/>
          <w:lang w:val="ro-MD"/>
        </w:rPr>
        <w:t xml:space="preserve">entru introducerea informaţiei privind restructurarea emisiunii </w:t>
      </w:r>
      <w:r w:rsidR="007C0823" w:rsidRPr="00AA7B00">
        <w:rPr>
          <w:rFonts w:ascii="Times New Roman" w:eastAsia="Times New Roman" w:hAnsi="Times New Roman" w:cs="Times New Roman"/>
          <w:sz w:val="28"/>
          <w:szCs w:val="28"/>
          <w:lang w:val="ro-MD"/>
        </w:rPr>
        <w:t xml:space="preserve">anterioare prin modificarea valorii nominale a acțiunilor, prin fracționarea și consolidarea </w:t>
      </w:r>
      <w:r w:rsidR="00301F12" w:rsidRPr="00AA7B00">
        <w:rPr>
          <w:rFonts w:ascii="Times New Roman" w:eastAsia="Times New Roman" w:hAnsi="Times New Roman" w:cs="Times New Roman"/>
          <w:sz w:val="28"/>
          <w:szCs w:val="28"/>
          <w:lang w:val="ro-MD"/>
        </w:rPr>
        <w:lastRenderedPageBreak/>
        <w:t>acțiunilor</w:t>
      </w:r>
      <w:r w:rsidR="00AC6BB2" w:rsidRPr="00AA7B00">
        <w:rPr>
          <w:rFonts w:ascii="Times New Roman" w:eastAsia="Times New Roman" w:hAnsi="Times New Roman" w:cs="Times New Roman"/>
          <w:sz w:val="28"/>
          <w:szCs w:val="28"/>
          <w:lang w:val="ro-MD"/>
        </w:rPr>
        <w:t xml:space="preserve"> sau efectuarea emisiunii suplimentare </w:t>
      </w:r>
      <w:r w:rsidR="00301F12" w:rsidRPr="00AA7B00">
        <w:rPr>
          <w:rFonts w:ascii="Times New Roman" w:eastAsia="Times New Roman" w:hAnsi="Times New Roman" w:cs="Times New Roman"/>
          <w:sz w:val="28"/>
          <w:szCs w:val="28"/>
          <w:lang w:val="ro-MD"/>
        </w:rPr>
        <w:t xml:space="preserve">de acțiuni, </w:t>
      </w:r>
      <w:r w:rsidR="00AC6BB2" w:rsidRPr="00AA7B00">
        <w:rPr>
          <w:rFonts w:ascii="Times New Roman" w:eastAsia="Times New Roman" w:hAnsi="Times New Roman" w:cs="Times New Roman"/>
          <w:sz w:val="28"/>
          <w:szCs w:val="28"/>
          <w:lang w:val="ro-MD"/>
        </w:rPr>
        <w:t>se stabileşte un preţ de p</w:t>
      </w:r>
      <w:r w:rsidRPr="00AA7B00">
        <w:rPr>
          <w:rFonts w:ascii="Times New Roman" w:eastAsia="Times New Roman" w:hAnsi="Times New Roman" w:cs="Times New Roman"/>
          <w:sz w:val="28"/>
          <w:szCs w:val="28"/>
          <w:lang w:val="ro-MD"/>
        </w:rPr>
        <w:t>â</w:t>
      </w:r>
      <w:r w:rsidR="00AC6BB2" w:rsidRPr="00AA7B00">
        <w:rPr>
          <w:rFonts w:ascii="Times New Roman" w:eastAsia="Times New Roman" w:hAnsi="Times New Roman" w:cs="Times New Roman"/>
          <w:sz w:val="28"/>
          <w:szCs w:val="28"/>
          <w:lang w:val="ro-MD"/>
        </w:rPr>
        <w:t xml:space="preserve">nă la </w:t>
      </w:r>
      <w:r w:rsidR="002944EC" w:rsidRPr="00AA7B00">
        <w:rPr>
          <w:rFonts w:ascii="Times New Roman" w:eastAsia="Times New Roman" w:hAnsi="Times New Roman" w:cs="Times New Roman"/>
          <w:sz w:val="28"/>
          <w:szCs w:val="28"/>
          <w:lang w:val="ro-MD"/>
        </w:rPr>
        <w:t>1</w:t>
      </w:r>
      <w:r w:rsidR="001863B8" w:rsidRPr="00AA7B00">
        <w:rPr>
          <w:rFonts w:ascii="Times New Roman" w:eastAsia="Times New Roman" w:hAnsi="Times New Roman" w:cs="Times New Roman"/>
          <w:sz w:val="28"/>
          <w:szCs w:val="28"/>
          <w:lang w:val="ro-MD"/>
        </w:rPr>
        <w:t xml:space="preserve"> </w:t>
      </w:r>
      <w:r w:rsidR="002944EC" w:rsidRPr="00AA7B00">
        <w:rPr>
          <w:rFonts w:ascii="Times New Roman" w:eastAsia="Times New Roman" w:hAnsi="Times New Roman" w:cs="Times New Roman"/>
          <w:sz w:val="28"/>
          <w:szCs w:val="28"/>
          <w:lang w:val="ro-MD"/>
        </w:rPr>
        <w:t>00</w:t>
      </w:r>
      <w:r w:rsidR="00F9151B" w:rsidRPr="00AA7B00">
        <w:rPr>
          <w:rFonts w:ascii="Times New Roman" w:eastAsia="Times New Roman" w:hAnsi="Times New Roman" w:cs="Times New Roman"/>
          <w:sz w:val="28"/>
          <w:szCs w:val="28"/>
          <w:lang w:val="ro-MD"/>
        </w:rPr>
        <w:t xml:space="preserve">0 </w:t>
      </w:r>
      <w:r w:rsidR="00AC6BB2" w:rsidRPr="00AA7B00">
        <w:rPr>
          <w:rFonts w:ascii="Times New Roman" w:eastAsia="Times New Roman" w:hAnsi="Times New Roman" w:cs="Times New Roman"/>
          <w:sz w:val="28"/>
          <w:szCs w:val="28"/>
          <w:lang w:val="ro-MD"/>
        </w:rPr>
        <w:t>lei.</w:t>
      </w:r>
    </w:p>
    <w:p w:rsidR="00FF2600" w:rsidRPr="00AA7B00" w:rsidRDefault="00CF5FA5"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714AB3" w:rsidRPr="00AA7B00">
        <w:rPr>
          <w:rFonts w:ascii="Times New Roman" w:eastAsia="Times New Roman" w:hAnsi="Times New Roman" w:cs="Times New Roman"/>
          <w:b/>
          <w:bCs/>
          <w:sz w:val="28"/>
          <w:szCs w:val="28"/>
          <w:lang w:val="ro-MD"/>
        </w:rPr>
        <w:t>4</w:t>
      </w:r>
      <w:r w:rsidRPr="00AA7B00">
        <w:rPr>
          <w:rFonts w:ascii="Times New Roman" w:eastAsia="Times New Roman" w:hAnsi="Times New Roman" w:cs="Times New Roman"/>
          <w:b/>
          <w:bCs/>
          <w:sz w:val="28"/>
          <w:szCs w:val="28"/>
          <w:lang w:val="ro-MD"/>
        </w:rPr>
        <w:t xml:space="preserve">. </w:t>
      </w:r>
      <w:r w:rsidR="00D25E8F" w:rsidRPr="00AA7B00">
        <w:rPr>
          <w:rFonts w:ascii="Times New Roman" w:eastAsia="Times New Roman" w:hAnsi="Times New Roman" w:cs="Times New Roman"/>
          <w:bCs/>
          <w:sz w:val="28"/>
          <w:szCs w:val="28"/>
          <w:lang w:val="ro-MD"/>
        </w:rPr>
        <w:t>P</w:t>
      </w:r>
      <w:r w:rsidR="00FF2600" w:rsidRPr="00AA7B00">
        <w:rPr>
          <w:rFonts w:ascii="Times New Roman" w:eastAsia="Times New Roman" w:hAnsi="Times New Roman" w:cs="Times New Roman"/>
          <w:sz w:val="28"/>
          <w:szCs w:val="28"/>
          <w:lang w:val="ro-MD"/>
        </w:rPr>
        <w:t>entru operaţiune</w:t>
      </w:r>
      <w:r w:rsidR="005E4F96" w:rsidRPr="00AA7B00">
        <w:rPr>
          <w:rFonts w:ascii="Times New Roman" w:eastAsia="Times New Roman" w:hAnsi="Times New Roman" w:cs="Times New Roman"/>
          <w:sz w:val="28"/>
          <w:szCs w:val="28"/>
          <w:lang w:val="ro-MD"/>
        </w:rPr>
        <w:t>a de deschidere a contului, inclusiv și</w:t>
      </w:r>
      <w:r w:rsidR="00FF2600" w:rsidRPr="00AA7B00">
        <w:rPr>
          <w:rFonts w:ascii="Times New Roman" w:eastAsia="Times New Roman" w:hAnsi="Times New Roman" w:cs="Times New Roman"/>
          <w:sz w:val="28"/>
          <w:szCs w:val="28"/>
          <w:lang w:val="ro-MD"/>
        </w:rPr>
        <w:t xml:space="preserve"> de modificare a datelor din contul </w:t>
      </w:r>
      <w:r w:rsidR="00A955A6" w:rsidRPr="00AA7B00">
        <w:rPr>
          <w:rFonts w:ascii="Times New Roman" w:eastAsia="Times New Roman" w:hAnsi="Times New Roman" w:cs="Times New Roman"/>
          <w:sz w:val="28"/>
          <w:szCs w:val="28"/>
          <w:lang w:val="ro-MD"/>
        </w:rPr>
        <w:t>de evidență</w:t>
      </w:r>
      <w:r w:rsidR="00FF2600" w:rsidRPr="00AA7B00">
        <w:rPr>
          <w:rFonts w:ascii="Times New Roman" w:eastAsia="Times New Roman" w:hAnsi="Times New Roman" w:cs="Times New Roman"/>
          <w:sz w:val="28"/>
          <w:szCs w:val="28"/>
          <w:lang w:val="ro-MD"/>
        </w:rPr>
        <w:t xml:space="preserve"> al emitentului (schimbarea denumirii, </w:t>
      </w:r>
      <w:r w:rsidR="001863B8" w:rsidRPr="00AA7B00">
        <w:rPr>
          <w:rFonts w:ascii="Times New Roman" w:eastAsia="Times New Roman" w:hAnsi="Times New Roman" w:cs="Times New Roman"/>
          <w:sz w:val="28"/>
          <w:szCs w:val="28"/>
          <w:lang w:val="ro-MD"/>
        </w:rPr>
        <w:t xml:space="preserve">a </w:t>
      </w:r>
      <w:r w:rsidR="00FF2600" w:rsidRPr="00AA7B00">
        <w:rPr>
          <w:rFonts w:ascii="Times New Roman" w:eastAsia="Times New Roman" w:hAnsi="Times New Roman" w:cs="Times New Roman"/>
          <w:sz w:val="28"/>
          <w:szCs w:val="28"/>
          <w:lang w:val="ro-MD"/>
        </w:rPr>
        <w:t xml:space="preserve">documentului de identitate, </w:t>
      </w:r>
      <w:r w:rsidR="001863B8" w:rsidRPr="00AA7B00">
        <w:rPr>
          <w:rFonts w:ascii="Times New Roman" w:eastAsia="Times New Roman" w:hAnsi="Times New Roman" w:cs="Times New Roman"/>
          <w:sz w:val="28"/>
          <w:szCs w:val="28"/>
          <w:lang w:val="ro-MD"/>
        </w:rPr>
        <w:t xml:space="preserve">a </w:t>
      </w:r>
      <w:r w:rsidR="00FF2600" w:rsidRPr="00AA7B00">
        <w:rPr>
          <w:rFonts w:ascii="Times New Roman" w:eastAsia="Times New Roman" w:hAnsi="Times New Roman" w:cs="Times New Roman"/>
          <w:sz w:val="28"/>
          <w:szCs w:val="28"/>
          <w:lang w:val="ro-MD"/>
        </w:rPr>
        <w:t>datelor bancare) se stabileşte un preţ de p</w:t>
      </w:r>
      <w:r w:rsidR="006B2BDC" w:rsidRPr="00AA7B00">
        <w:rPr>
          <w:rFonts w:ascii="Times New Roman" w:eastAsia="Times New Roman" w:hAnsi="Times New Roman" w:cs="Times New Roman"/>
          <w:sz w:val="28"/>
          <w:szCs w:val="28"/>
          <w:lang w:val="ro-MD"/>
        </w:rPr>
        <w:t>â</w:t>
      </w:r>
      <w:r w:rsidR="00FF2600" w:rsidRPr="00AA7B00">
        <w:rPr>
          <w:rFonts w:ascii="Times New Roman" w:eastAsia="Times New Roman" w:hAnsi="Times New Roman" w:cs="Times New Roman"/>
          <w:sz w:val="28"/>
          <w:szCs w:val="28"/>
          <w:lang w:val="ro-MD"/>
        </w:rPr>
        <w:t>nă la 200 lei.</w:t>
      </w:r>
    </w:p>
    <w:p w:rsidR="00AC6BB2" w:rsidRPr="00AA7B00" w:rsidRDefault="008A20AE"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714AB3" w:rsidRPr="00AA7B00">
        <w:rPr>
          <w:rFonts w:ascii="Times New Roman" w:eastAsia="Times New Roman" w:hAnsi="Times New Roman" w:cs="Times New Roman"/>
          <w:b/>
          <w:bCs/>
          <w:sz w:val="28"/>
          <w:szCs w:val="28"/>
          <w:lang w:val="ro-MD"/>
        </w:rPr>
        <w:t>5</w:t>
      </w:r>
      <w:r w:rsidR="00B75C1C" w:rsidRPr="00AA7B00">
        <w:rPr>
          <w:rFonts w:ascii="Times New Roman" w:eastAsia="Times New Roman" w:hAnsi="Times New Roman" w:cs="Times New Roman"/>
          <w:b/>
          <w:bCs/>
          <w:sz w:val="28"/>
          <w:szCs w:val="28"/>
          <w:lang w:val="ro-MD"/>
        </w:rPr>
        <w:t>.</w:t>
      </w:r>
      <w:r w:rsidR="00CF5FA5" w:rsidRPr="00AA7B00">
        <w:rPr>
          <w:rFonts w:ascii="Times New Roman" w:eastAsia="Times New Roman" w:hAnsi="Times New Roman" w:cs="Times New Roman"/>
          <w:sz w:val="28"/>
          <w:szCs w:val="28"/>
          <w:lang w:val="ro-MD"/>
        </w:rPr>
        <w:t xml:space="preserve"> </w:t>
      </w:r>
      <w:r w:rsidR="00AC6BB2" w:rsidRPr="00AA7B00">
        <w:rPr>
          <w:rFonts w:ascii="Times New Roman" w:eastAsia="Times New Roman" w:hAnsi="Times New Roman" w:cs="Times New Roman"/>
          <w:sz w:val="28"/>
          <w:szCs w:val="28"/>
          <w:lang w:val="ro-MD"/>
        </w:rPr>
        <w:t xml:space="preserve">Pentru perfectarea şi prezentarea extrasului operaţional privind operaţiunile înregistrate în registrul </w:t>
      </w:r>
      <w:r w:rsidR="00104A5F" w:rsidRPr="00AA7B00">
        <w:rPr>
          <w:rFonts w:ascii="Times New Roman" w:eastAsia="Times New Roman" w:hAnsi="Times New Roman" w:cs="Times New Roman"/>
          <w:sz w:val="28"/>
          <w:szCs w:val="28"/>
          <w:lang w:val="ro-MD"/>
        </w:rPr>
        <w:t>acționarilor</w:t>
      </w:r>
      <w:r w:rsidR="00AC6BB2" w:rsidRPr="00AA7B00">
        <w:rPr>
          <w:rFonts w:ascii="Times New Roman" w:eastAsia="Times New Roman" w:hAnsi="Times New Roman" w:cs="Times New Roman"/>
          <w:sz w:val="28"/>
          <w:szCs w:val="28"/>
          <w:lang w:val="ro-MD"/>
        </w:rPr>
        <w:t xml:space="preserve"> sau a listei deţinătorilor a 5</w:t>
      </w:r>
      <w:r w:rsidR="001863B8" w:rsidRPr="00AA7B00">
        <w:rPr>
          <w:rFonts w:ascii="Times New Roman" w:eastAsia="Times New Roman" w:hAnsi="Times New Roman" w:cs="Times New Roman"/>
          <w:sz w:val="28"/>
          <w:szCs w:val="28"/>
          <w:lang w:val="ro-MD"/>
        </w:rPr>
        <w:t xml:space="preserve"> </w:t>
      </w:r>
      <w:r w:rsidR="00FC1B08" w:rsidRPr="00AA7B00">
        <w:rPr>
          <w:rFonts w:ascii="Times New Roman" w:eastAsia="Times New Roman" w:hAnsi="Times New Roman" w:cs="Times New Roman"/>
          <w:sz w:val="28"/>
          <w:szCs w:val="28"/>
          <w:lang w:val="ro-MD"/>
        </w:rPr>
        <w:t>la sută</w:t>
      </w:r>
      <w:r w:rsidR="00AC6BB2" w:rsidRPr="00AA7B00">
        <w:rPr>
          <w:rFonts w:ascii="Times New Roman" w:eastAsia="Times New Roman" w:hAnsi="Times New Roman" w:cs="Times New Roman"/>
          <w:sz w:val="28"/>
          <w:szCs w:val="28"/>
          <w:lang w:val="ro-MD"/>
        </w:rPr>
        <w:t xml:space="preserve"> şi mai mult din numărul total de </w:t>
      </w:r>
      <w:r w:rsidR="00104A5F" w:rsidRPr="00AA7B00">
        <w:rPr>
          <w:rFonts w:ascii="Times New Roman" w:eastAsia="Times New Roman" w:hAnsi="Times New Roman" w:cs="Times New Roman"/>
          <w:sz w:val="28"/>
          <w:szCs w:val="28"/>
          <w:lang w:val="ro-MD"/>
        </w:rPr>
        <w:t>acțiuni</w:t>
      </w:r>
      <w:r w:rsidR="00AC6BB2" w:rsidRPr="00AA7B00">
        <w:rPr>
          <w:rFonts w:ascii="Times New Roman" w:eastAsia="Times New Roman" w:hAnsi="Times New Roman" w:cs="Times New Roman"/>
          <w:sz w:val="28"/>
          <w:szCs w:val="28"/>
          <w:lang w:val="ro-MD"/>
        </w:rPr>
        <w:t xml:space="preserve"> ale unui emi</w:t>
      </w:r>
      <w:r w:rsidR="004D1F58" w:rsidRPr="00AA7B00">
        <w:rPr>
          <w:rFonts w:ascii="Times New Roman" w:eastAsia="Times New Roman" w:hAnsi="Times New Roman" w:cs="Times New Roman"/>
          <w:sz w:val="28"/>
          <w:szCs w:val="28"/>
          <w:lang w:val="ro-MD"/>
        </w:rPr>
        <w:t>tent</w:t>
      </w:r>
      <w:r w:rsidR="00104A5F" w:rsidRPr="00AA7B00">
        <w:rPr>
          <w:rFonts w:ascii="Times New Roman" w:eastAsia="Times New Roman" w:hAnsi="Times New Roman" w:cs="Times New Roman"/>
          <w:sz w:val="28"/>
          <w:szCs w:val="28"/>
          <w:lang w:val="ro-MD"/>
        </w:rPr>
        <w:t>,</w:t>
      </w:r>
      <w:r w:rsidR="004D1F58" w:rsidRPr="00AA7B00">
        <w:rPr>
          <w:rFonts w:ascii="Times New Roman" w:eastAsia="Times New Roman" w:hAnsi="Times New Roman" w:cs="Times New Roman"/>
          <w:sz w:val="28"/>
          <w:szCs w:val="28"/>
          <w:lang w:val="ro-MD"/>
        </w:rPr>
        <w:t xml:space="preserve"> se stabileşte un preţ de pâ</w:t>
      </w:r>
      <w:r w:rsidR="00AC6BB2" w:rsidRPr="00AA7B00">
        <w:rPr>
          <w:rFonts w:ascii="Times New Roman" w:eastAsia="Times New Roman" w:hAnsi="Times New Roman" w:cs="Times New Roman"/>
          <w:sz w:val="28"/>
          <w:szCs w:val="28"/>
          <w:lang w:val="ro-MD"/>
        </w:rPr>
        <w:t xml:space="preserve">nă la </w:t>
      </w:r>
      <w:r w:rsidR="00025996" w:rsidRPr="00AA7B00">
        <w:rPr>
          <w:rFonts w:ascii="Times New Roman" w:eastAsia="Times New Roman" w:hAnsi="Times New Roman" w:cs="Times New Roman"/>
          <w:sz w:val="28"/>
          <w:szCs w:val="28"/>
          <w:lang w:val="ro-MD"/>
        </w:rPr>
        <w:t xml:space="preserve">100 </w:t>
      </w:r>
      <w:r w:rsidR="00AC6BB2" w:rsidRPr="00AA7B00">
        <w:rPr>
          <w:rFonts w:ascii="Times New Roman" w:eastAsia="Times New Roman" w:hAnsi="Times New Roman" w:cs="Times New Roman"/>
          <w:sz w:val="28"/>
          <w:szCs w:val="28"/>
          <w:lang w:val="ro-MD"/>
        </w:rPr>
        <w:t>lei</w:t>
      </w:r>
      <w:r w:rsidR="001863B8" w:rsidRPr="00AA7B00">
        <w:rPr>
          <w:rFonts w:ascii="Times New Roman" w:eastAsia="Times New Roman" w:hAnsi="Times New Roman" w:cs="Times New Roman"/>
          <w:sz w:val="28"/>
          <w:szCs w:val="28"/>
          <w:lang w:val="ro-MD"/>
        </w:rPr>
        <w:t>,</w:t>
      </w:r>
      <w:r w:rsidR="00AC6BB2" w:rsidRPr="00AA7B00">
        <w:rPr>
          <w:rFonts w:ascii="Times New Roman" w:eastAsia="Times New Roman" w:hAnsi="Times New Roman" w:cs="Times New Roman"/>
          <w:sz w:val="28"/>
          <w:szCs w:val="28"/>
          <w:lang w:val="ro-MD"/>
        </w:rPr>
        <w:t xml:space="preserve"> plus 1</w:t>
      </w:r>
      <w:r w:rsidR="00104A5F" w:rsidRPr="00AA7B00">
        <w:rPr>
          <w:rFonts w:ascii="Times New Roman" w:eastAsia="Times New Roman" w:hAnsi="Times New Roman" w:cs="Times New Roman"/>
          <w:sz w:val="28"/>
          <w:szCs w:val="28"/>
          <w:lang w:val="ro-MD"/>
        </w:rPr>
        <w:t>5</w:t>
      </w:r>
      <w:r w:rsidR="00AC6BB2" w:rsidRPr="00AA7B00">
        <w:rPr>
          <w:rFonts w:ascii="Times New Roman" w:eastAsia="Times New Roman" w:hAnsi="Times New Roman" w:cs="Times New Roman"/>
          <w:sz w:val="28"/>
          <w:szCs w:val="28"/>
          <w:lang w:val="ro-MD"/>
        </w:rPr>
        <w:t xml:space="preserve"> lei pentru fiecare pagină adăugătoare.</w:t>
      </w:r>
    </w:p>
    <w:p w:rsidR="00FF4BE3" w:rsidRPr="00AA7B00" w:rsidRDefault="00216D9D"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sz w:val="28"/>
          <w:szCs w:val="28"/>
          <w:lang w:val="ro-MD"/>
        </w:rPr>
        <w:t>1</w:t>
      </w:r>
      <w:r w:rsidR="00714AB3" w:rsidRPr="00AA7B00">
        <w:rPr>
          <w:rFonts w:ascii="Times New Roman" w:eastAsia="Times New Roman" w:hAnsi="Times New Roman" w:cs="Times New Roman"/>
          <w:b/>
          <w:sz w:val="28"/>
          <w:szCs w:val="28"/>
          <w:lang w:val="ro-MD"/>
        </w:rPr>
        <w:t>6</w:t>
      </w:r>
      <w:r w:rsidR="00FF4BE3" w:rsidRPr="00AA7B00">
        <w:rPr>
          <w:rFonts w:ascii="Times New Roman" w:eastAsia="Times New Roman" w:hAnsi="Times New Roman" w:cs="Times New Roman"/>
          <w:b/>
          <w:sz w:val="28"/>
          <w:szCs w:val="28"/>
          <w:lang w:val="ro-MD"/>
        </w:rPr>
        <w:t>.</w:t>
      </w:r>
      <w:r w:rsidR="00FF4BE3" w:rsidRPr="00AA7B00">
        <w:rPr>
          <w:rFonts w:ascii="Times New Roman" w:eastAsia="Times New Roman" w:hAnsi="Times New Roman" w:cs="Times New Roman"/>
          <w:sz w:val="28"/>
          <w:szCs w:val="28"/>
          <w:lang w:val="ro-MD"/>
        </w:rPr>
        <w:t xml:space="preserve"> Pentru perfectarea şi prezentarea informaţiei privind preţul mediu al </w:t>
      </w:r>
      <w:r w:rsidRPr="00AA7B00">
        <w:rPr>
          <w:rFonts w:ascii="Times New Roman" w:eastAsia="Times New Roman" w:hAnsi="Times New Roman" w:cs="Times New Roman"/>
          <w:sz w:val="28"/>
          <w:szCs w:val="28"/>
          <w:lang w:val="ro-MD"/>
        </w:rPr>
        <w:t>acțiunilor</w:t>
      </w:r>
      <w:r w:rsidR="00FF4BE3" w:rsidRPr="00AA7B00">
        <w:rPr>
          <w:rFonts w:ascii="Times New Roman" w:eastAsia="Times New Roman" w:hAnsi="Times New Roman" w:cs="Times New Roman"/>
          <w:sz w:val="28"/>
          <w:szCs w:val="28"/>
          <w:lang w:val="ro-MD"/>
        </w:rPr>
        <w:t xml:space="preserve"> tranzacţio</w:t>
      </w:r>
      <w:r w:rsidRPr="00AA7B00">
        <w:rPr>
          <w:rFonts w:ascii="Times New Roman" w:eastAsia="Times New Roman" w:hAnsi="Times New Roman" w:cs="Times New Roman"/>
          <w:sz w:val="28"/>
          <w:szCs w:val="28"/>
          <w:lang w:val="ro-MD"/>
        </w:rPr>
        <w:t>nate se stabileşte un preţ de pâ</w:t>
      </w:r>
      <w:r w:rsidR="00FF4BE3" w:rsidRPr="00AA7B00">
        <w:rPr>
          <w:rFonts w:ascii="Times New Roman" w:eastAsia="Times New Roman" w:hAnsi="Times New Roman" w:cs="Times New Roman"/>
          <w:sz w:val="28"/>
          <w:szCs w:val="28"/>
          <w:lang w:val="ro-MD"/>
        </w:rPr>
        <w:t>nă la 150 lei.</w:t>
      </w:r>
    </w:p>
    <w:p w:rsidR="00AC6BB2" w:rsidRPr="00AA7B00" w:rsidRDefault="00216D9D"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714AB3" w:rsidRPr="00AA7B00">
        <w:rPr>
          <w:rFonts w:ascii="Times New Roman" w:eastAsia="Times New Roman" w:hAnsi="Times New Roman" w:cs="Times New Roman"/>
          <w:b/>
          <w:bCs/>
          <w:sz w:val="28"/>
          <w:szCs w:val="28"/>
          <w:lang w:val="ro-MD"/>
        </w:rPr>
        <w:t>7</w:t>
      </w:r>
      <w:r w:rsidR="00AC6BB2" w:rsidRPr="00AA7B00">
        <w:rPr>
          <w:rFonts w:ascii="Times New Roman" w:eastAsia="Times New Roman" w:hAnsi="Times New Roman" w:cs="Times New Roman"/>
          <w:b/>
          <w:bCs/>
          <w:sz w:val="28"/>
          <w:szCs w:val="28"/>
          <w:lang w:val="ro-MD"/>
        </w:rPr>
        <w:t>.</w:t>
      </w:r>
      <w:r w:rsidR="00AC6BB2" w:rsidRPr="00AA7B00">
        <w:rPr>
          <w:rFonts w:ascii="Times New Roman" w:eastAsia="Times New Roman" w:hAnsi="Times New Roman" w:cs="Times New Roman"/>
          <w:sz w:val="28"/>
          <w:szCs w:val="28"/>
          <w:lang w:val="ro-MD"/>
        </w:rPr>
        <w:t xml:space="preserve"> Pentru efectuarea şi eliberarea copi</w:t>
      </w:r>
      <w:r w:rsidR="001863B8" w:rsidRPr="00AA7B00">
        <w:rPr>
          <w:rFonts w:ascii="Times New Roman" w:eastAsia="Times New Roman" w:hAnsi="Times New Roman" w:cs="Times New Roman"/>
          <w:sz w:val="28"/>
          <w:szCs w:val="28"/>
          <w:lang w:val="ro-MD"/>
        </w:rPr>
        <w:t>ei</w:t>
      </w:r>
      <w:r w:rsidR="00AC6BB2" w:rsidRPr="00AA7B00">
        <w:rPr>
          <w:rFonts w:ascii="Times New Roman" w:eastAsia="Times New Roman" w:hAnsi="Times New Roman" w:cs="Times New Roman"/>
          <w:sz w:val="28"/>
          <w:szCs w:val="28"/>
          <w:lang w:val="ro-MD"/>
        </w:rPr>
        <w:t xml:space="preserve"> documentelor se stabile</w:t>
      </w:r>
      <w:r w:rsidR="00714AB3" w:rsidRPr="00AA7B00">
        <w:rPr>
          <w:rFonts w:ascii="Times New Roman" w:eastAsia="Times New Roman" w:hAnsi="Times New Roman" w:cs="Times New Roman"/>
          <w:sz w:val="28"/>
          <w:szCs w:val="28"/>
          <w:lang w:val="ro-MD"/>
        </w:rPr>
        <w:t>sc</w:t>
      </w:r>
      <w:r w:rsidR="00AC6BB2" w:rsidRPr="00AA7B00">
        <w:rPr>
          <w:rFonts w:ascii="Times New Roman" w:eastAsia="Times New Roman" w:hAnsi="Times New Roman" w:cs="Times New Roman"/>
          <w:sz w:val="28"/>
          <w:szCs w:val="28"/>
          <w:lang w:val="ro-MD"/>
        </w:rPr>
        <w:t xml:space="preserve"> preţ</w:t>
      </w:r>
      <w:r w:rsidR="00714AB3" w:rsidRPr="00AA7B00">
        <w:rPr>
          <w:rFonts w:ascii="Times New Roman" w:eastAsia="Times New Roman" w:hAnsi="Times New Roman" w:cs="Times New Roman"/>
          <w:sz w:val="28"/>
          <w:szCs w:val="28"/>
          <w:lang w:val="ro-MD"/>
        </w:rPr>
        <w:t>uri</w:t>
      </w:r>
      <w:r w:rsidR="00AC6BB2" w:rsidRPr="00AA7B00">
        <w:rPr>
          <w:rFonts w:ascii="Times New Roman" w:eastAsia="Times New Roman" w:hAnsi="Times New Roman" w:cs="Times New Roman"/>
          <w:sz w:val="28"/>
          <w:szCs w:val="28"/>
          <w:lang w:val="ro-MD"/>
        </w:rPr>
        <w:t xml:space="preserve"> conform pct.</w:t>
      </w:r>
      <w:r w:rsidR="00533FC0" w:rsidRPr="00AA7B00">
        <w:rPr>
          <w:rFonts w:ascii="Times New Roman" w:eastAsia="Times New Roman" w:hAnsi="Times New Roman" w:cs="Times New Roman"/>
          <w:sz w:val="28"/>
          <w:szCs w:val="28"/>
          <w:lang w:val="ro-MD"/>
        </w:rPr>
        <w:t xml:space="preserve"> </w:t>
      </w:r>
      <w:r w:rsidR="002E3620" w:rsidRPr="00AA7B00">
        <w:rPr>
          <w:rFonts w:ascii="Times New Roman" w:eastAsia="Times New Roman" w:hAnsi="Times New Roman" w:cs="Times New Roman"/>
          <w:sz w:val="28"/>
          <w:szCs w:val="28"/>
          <w:lang w:val="ro-MD"/>
        </w:rPr>
        <w:t>8</w:t>
      </w:r>
      <w:r w:rsidR="00AC6BB2" w:rsidRPr="00AA7B00">
        <w:rPr>
          <w:rFonts w:ascii="Times New Roman" w:eastAsia="Times New Roman" w:hAnsi="Times New Roman" w:cs="Times New Roman"/>
          <w:sz w:val="28"/>
          <w:szCs w:val="28"/>
          <w:lang w:val="ro-MD"/>
        </w:rPr>
        <w:t>.</w:t>
      </w:r>
    </w:p>
    <w:p w:rsidR="00AC6BB2" w:rsidRPr="00AA7B00" w:rsidRDefault="002E3620"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714AB3" w:rsidRPr="00AA7B00">
        <w:rPr>
          <w:rFonts w:ascii="Times New Roman" w:eastAsia="Times New Roman" w:hAnsi="Times New Roman" w:cs="Times New Roman"/>
          <w:b/>
          <w:bCs/>
          <w:sz w:val="28"/>
          <w:szCs w:val="28"/>
          <w:lang w:val="ro-MD"/>
        </w:rPr>
        <w:t>8</w:t>
      </w:r>
      <w:r w:rsidRPr="00AA7B00">
        <w:rPr>
          <w:rFonts w:ascii="Times New Roman" w:eastAsia="Times New Roman" w:hAnsi="Times New Roman" w:cs="Times New Roman"/>
          <w:b/>
          <w:bCs/>
          <w:sz w:val="28"/>
          <w:szCs w:val="28"/>
          <w:lang w:val="ro-MD"/>
        </w:rPr>
        <w:t>.</w:t>
      </w:r>
      <w:r w:rsidR="00AC6BB2" w:rsidRPr="00AA7B00">
        <w:rPr>
          <w:rFonts w:ascii="Times New Roman" w:eastAsia="Times New Roman" w:hAnsi="Times New Roman" w:cs="Times New Roman"/>
          <w:sz w:val="28"/>
          <w:szCs w:val="28"/>
          <w:lang w:val="ro-MD"/>
        </w:rPr>
        <w:t xml:space="preserve"> În cazul fondurilor de investiţii nemutuale şi pentru privatizare</w:t>
      </w:r>
      <w:r w:rsidR="001863B8" w:rsidRPr="00AA7B00">
        <w:rPr>
          <w:rFonts w:ascii="Times New Roman" w:eastAsia="Times New Roman" w:hAnsi="Times New Roman" w:cs="Times New Roman"/>
          <w:sz w:val="28"/>
          <w:szCs w:val="28"/>
          <w:lang w:val="ro-MD"/>
        </w:rPr>
        <w:t>,</w:t>
      </w:r>
      <w:r w:rsidR="00AC6BB2" w:rsidRPr="00AA7B00">
        <w:rPr>
          <w:rFonts w:ascii="Times New Roman" w:eastAsia="Times New Roman" w:hAnsi="Times New Roman" w:cs="Times New Roman"/>
          <w:sz w:val="28"/>
          <w:szCs w:val="28"/>
          <w:lang w:val="ro-MD"/>
        </w:rPr>
        <w:t xml:space="preserve"> se vor încasa plăţile doar pentru serviciile efectiv prestate în temeiul solicitării administratorului procedurii de lichidare/comisiei de lichidare.</w:t>
      </w:r>
    </w:p>
    <w:p w:rsidR="00104A5F" w:rsidRPr="00AA7B00" w:rsidRDefault="002E3620"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bCs/>
          <w:sz w:val="28"/>
          <w:szCs w:val="28"/>
          <w:lang w:val="ro-MD"/>
        </w:rPr>
        <w:t>1</w:t>
      </w:r>
      <w:r w:rsidR="00714AB3" w:rsidRPr="00AA7B00">
        <w:rPr>
          <w:rFonts w:ascii="Times New Roman" w:eastAsia="Times New Roman" w:hAnsi="Times New Roman" w:cs="Times New Roman"/>
          <w:b/>
          <w:bCs/>
          <w:sz w:val="28"/>
          <w:szCs w:val="28"/>
          <w:lang w:val="ro-MD"/>
        </w:rPr>
        <w:t>9</w:t>
      </w:r>
      <w:r w:rsidR="00AA073A" w:rsidRPr="00AA7B00">
        <w:rPr>
          <w:rFonts w:ascii="Times New Roman" w:eastAsia="Times New Roman" w:hAnsi="Times New Roman" w:cs="Times New Roman"/>
          <w:b/>
          <w:bCs/>
          <w:sz w:val="28"/>
          <w:szCs w:val="28"/>
          <w:lang w:val="ro-MD"/>
        </w:rPr>
        <w:t>.</w:t>
      </w:r>
      <w:r w:rsidR="00AA073A" w:rsidRPr="00AA7B00">
        <w:rPr>
          <w:rFonts w:ascii="Times New Roman" w:eastAsia="Times New Roman" w:hAnsi="Times New Roman" w:cs="Times New Roman"/>
          <w:sz w:val="28"/>
          <w:szCs w:val="28"/>
          <w:lang w:val="ro-MD"/>
        </w:rPr>
        <w:t xml:space="preserve"> </w:t>
      </w:r>
      <w:r w:rsidR="00104A5F" w:rsidRPr="00AA7B00">
        <w:rPr>
          <w:rFonts w:ascii="Times New Roman" w:eastAsia="Times New Roman" w:hAnsi="Times New Roman" w:cs="Times New Roman"/>
          <w:sz w:val="28"/>
          <w:szCs w:val="28"/>
          <w:lang w:val="ro-MD"/>
        </w:rPr>
        <w:t xml:space="preserve">Pentru transferul registrului </w:t>
      </w:r>
      <w:r w:rsidRPr="00AA7B00">
        <w:rPr>
          <w:rFonts w:ascii="Times New Roman" w:eastAsia="Times New Roman" w:hAnsi="Times New Roman" w:cs="Times New Roman"/>
          <w:sz w:val="28"/>
          <w:szCs w:val="28"/>
          <w:lang w:val="ro-MD"/>
        </w:rPr>
        <w:t>acționarilor</w:t>
      </w:r>
      <w:r w:rsidR="00104A5F" w:rsidRPr="00AA7B00">
        <w:rPr>
          <w:rFonts w:ascii="Times New Roman" w:eastAsia="Times New Roman" w:hAnsi="Times New Roman" w:cs="Times New Roman"/>
          <w:sz w:val="28"/>
          <w:szCs w:val="28"/>
          <w:lang w:val="ro-MD"/>
        </w:rPr>
        <w:t xml:space="preserve"> altei societăţi de registru sau persoanei împuternicite de legislaţie se stabilesc următoarele preţuri:</w:t>
      </w:r>
    </w:p>
    <w:p w:rsidR="00104A5F" w:rsidRPr="00AA7B00" w:rsidRDefault="001863B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19.1.</w:t>
      </w:r>
      <w:r w:rsidR="00104A5F" w:rsidRPr="00AA7B00">
        <w:rPr>
          <w:rFonts w:ascii="Times New Roman" w:eastAsia="Times New Roman" w:hAnsi="Times New Roman" w:cs="Times New Roman"/>
          <w:sz w:val="28"/>
          <w:szCs w:val="28"/>
          <w:lang w:val="ro-MD"/>
        </w:rPr>
        <w:t xml:space="preserve"> pentru un exemplar al versiunii imprimate a listei </w:t>
      </w:r>
      <w:r w:rsidR="002E3620" w:rsidRPr="00AA7B00">
        <w:rPr>
          <w:rFonts w:ascii="Times New Roman" w:eastAsia="Times New Roman" w:hAnsi="Times New Roman" w:cs="Times New Roman"/>
          <w:sz w:val="28"/>
          <w:szCs w:val="28"/>
          <w:lang w:val="ro-MD"/>
        </w:rPr>
        <w:t>acționarilor</w:t>
      </w:r>
      <w:r w:rsidR="00104A5F" w:rsidRPr="00AA7B00">
        <w:rPr>
          <w:rFonts w:ascii="Times New Roman" w:eastAsia="Times New Roman" w:hAnsi="Times New Roman" w:cs="Times New Roman"/>
          <w:sz w:val="28"/>
          <w:szCs w:val="28"/>
          <w:lang w:val="ro-MD"/>
        </w:rPr>
        <w:t xml:space="preserve"> la data transmiterii registrului</w:t>
      </w:r>
      <w:r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eastAsia="ro-RO"/>
        </w:rPr>
        <w:t xml:space="preserve"> </w:t>
      </w:r>
      <w:r w:rsidR="00104A5F" w:rsidRPr="00AA7B00">
        <w:rPr>
          <w:rFonts w:ascii="Times New Roman" w:eastAsia="Times New Roman" w:hAnsi="Times New Roman" w:cs="Times New Roman"/>
          <w:sz w:val="28"/>
          <w:szCs w:val="28"/>
          <w:lang w:val="ro-MD"/>
        </w:rPr>
        <w:t xml:space="preserve">plata conform pct. </w:t>
      </w:r>
      <w:r w:rsidR="002E3620" w:rsidRPr="00AA7B00">
        <w:rPr>
          <w:rFonts w:ascii="Times New Roman" w:eastAsia="Times New Roman" w:hAnsi="Times New Roman" w:cs="Times New Roman"/>
          <w:sz w:val="28"/>
          <w:szCs w:val="28"/>
          <w:lang w:val="ro-MD"/>
        </w:rPr>
        <w:t>9</w:t>
      </w:r>
      <w:r w:rsidR="00104A5F" w:rsidRPr="00AA7B00">
        <w:rPr>
          <w:rFonts w:ascii="Times New Roman" w:eastAsia="Times New Roman" w:hAnsi="Times New Roman" w:cs="Times New Roman"/>
          <w:sz w:val="28"/>
          <w:szCs w:val="28"/>
          <w:lang w:val="ro-MD"/>
        </w:rPr>
        <w:t>;</w:t>
      </w:r>
    </w:p>
    <w:p w:rsidR="00104A5F" w:rsidRPr="00AA7B00" w:rsidRDefault="001863B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w:t>
      </w:r>
      <w:r w:rsidR="00104A5F" w:rsidRPr="00AA7B00">
        <w:rPr>
          <w:rFonts w:ascii="Times New Roman" w:eastAsia="Times New Roman" w:hAnsi="Times New Roman" w:cs="Times New Roman"/>
          <w:sz w:val="28"/>
          <w:szCs w:val="28"/>
          <w:lang w:val="ro-MD"/>
        </w:rPr>
        <w:t>2</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pentru lista </w:t>
      </w:r>
      <w:r w:rsidR="002E3620" w:rsidRPr="00AA7B00">
        <w:rPr>
          <w:rFonts w:ascii="Times New Roman" w:eastAsia="Times New Roman" w:hAnsi="Times New Roman" w:cs="Times New Roman"/>
          <w:sz w:val="28"/>
          <w:szCs w:val="28"/>
          <w:lang w:val="ro-MD"/>
        </w:rPr>
        <w:t>restricțiilor menținute</w:t>
      </w:r>
      <w:r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de până la 100 lei;</w:t>
      </w:r>
    </w:p>
    <w:p w:rsidR="00104A5F" w:rsidRPr="00AA7B00" w:rsidRDefault="001863B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w:t>
      </w:r>
      <w:r w:rsidR="00104A5F" w:rsidRPr="00AA7B00">
        <w:rPr>
          <w:rFonts w:ascii="Times New Roman" w:eastAsia="Times New Roman" w:hAnsi="Times New Roman" w:cs="Times New Roman"/>
          <w:sz w:val="28"/>
          <w:szCs w:val="28"/>
          <w:lang w:val="ro-MD"/>
        </w:rPr>
        <w:t>3</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pentru un extras operaţional privind operaţiunile înregistrat</w:t>
      </w:r>
      <w:r w:rsidRPr="00AA7B00">
        <w:rPr>
          <w:rFonts w:ascii="Times New Roman" w:eastAsia="Times New Roman" w:hAnsi="Times New Roman" w:cs="Times New Roman"/>
          <w:sz w:val="28"/>
          <w:szCs w:val="28"/>
          <w:lang w:val="ro-MD"/>
        </w:rPr>
        <w:t>e din data formării registrului</w:t>
      </w:r>
      <w:r w:rsidR="00264FC2" w:rsidRPr="00AA7B00">
        <w:rPr>
          <w:rFonts w:ascii="Times New Roman" w:eastAsia="Times New Roman" w:hAnsi="Times New Roman" w:cs="Times New Roman"/>
          <w:sz w:val="28"/>
          <w:szCs w:val="28"/>
          <w:lang w:val="ro-MD"/>
        </w:rPr>
        <w:t xml:space="preserve"> </w:t>
      </w:r>
      <w:r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eastAsia="ro-RO"/>
        </w:rPr>
        <w:t xml:space="preserve"> </w:t>
      </w:r>
      <w:r w:rsidR="00104A5F" w:rsidRPr="00AA7B00">
        <w:rPr>
          <w:rFonts w:ascii="Times New Roman" w:eastAsia="Times New Roman" w:hAnsi="Times New Roman" w:cs="Times New Roman"/>
          <w:sz w:val="28"/>
          <w:szCs w:val="28"/>
          <w:lang w:val="ro-MD"/>
        </w:rPr>
        <w:t xml:space="preserve">de până la </w:t>
      </w:r>
      <w:r w:rsidR="002E3620" w:rsidRPr="00AA7B00">
        <w:rPr>
          <w:rFonts w:ascii="Times New Roman" w:eastAsia="Times New Roman" w:hAnsi="Times New Roman" w:cs="Times New Roman"/>
          <w:sz w:val="28"/>
          <w:szCs w:val="28"/>
          <w:lang w:val="ro-MD"/>
        </w:rPr>
        <w:t>10</w:t>
      </w:r>
      <w:r w:rsidR="00104A5F" w:rsidRPr="00AA7B00">
        <w:rPr>
          <w:rFonts w:ascii="Times New Roman" w:eastAsia="Times New Roman" w:hAnsi="Times New Roman" w:cs="Times New Roman"/>
          <w:sz w:val="28"/>
          <w:szCs w:val="28"/>
          <w:lang w:val="ro-MD"/>
        </w:rPr>
        <w:t>0 lei plus 10 lei pentru fiecare pagină adăugătoare;</w:t>
      </w:r>
    </w:p>
    <w:p w:rsidR="00104A5F" w:rsidRPr="00AA7B00" w:rsidRDefault="001863B8"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w:t>
      </w:r>
      <w:r w:rsidR="00104A5F" w:rsidRPr="00AA7B00">
        <w:rPr>
          <w:rFonts w:ascii="Times New Roman" w:eastAsia="Times New Roman" w:hAnsi="Times New Roman" w:cs="Times New Roman"/>
          <w:sz w:val="28"/>
          <w:szCs w:val="28"/>
          <w:lang w:val="ro-MD"/>
        </w:rPr>
        <w:t>4</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pentru registrul de evidenţ</w:t>
      </w:r>
      <w:r w:rsidRPr="00AA7B00">
        <w:rPr>
          <w:rFonts w:ascii="Times New Roman" w:eastAsia="Times New Roman" w:hAnsi="Times New Roman" w:cs="Times New Roman"/>
          <w:sz w:val="28"/>
          <w:szCs w:val="28"/>
          <w:lang w:val="ro-MD"/>
        </w:rPr>
        <w:t>ă a gajului valorilor mobiliare</w:t>
      </w:r>
      <w:r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eastAsia="ro-RO"/>
        </w:rPr>
        <w:t xml:space="preserve"> </w:t>
      </w:r>
      <w:r w:rsidR="00104A5F" w:rsidRPr="00AA7B00">
        <w:rPr>
          <w:rFonts w:ascii="Times New Roman" w:eastAsia="Times New Roman" w:hAnsi="Times New Roman" w:cs="Times New Roman"/>
          <w:sz w:val="28"/>
          <w:szCs w:val="28"/>
          <w:lang w:val="ro-MD"/>
        </w:rPr>
        <w:t>de până la 50 lei;</w:t>
      </w:r>
    </w:p>
    <w:p w:rsidR="00104A5F" w:rsidRPr="00AA7B00" w:rsidRDefault="00264FC2"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w:t>
      </w:r>
      <w:r w:rsidR="00104A5F" w:rsidRPr="00AA7B00">
        <w:rPr>
          <w:rFonts w:ascii="Times New Roman" w:eastAsia="Times New Roman" w:hAnsi="Times New Roman" w:cs="Times New Roman"/>
          <w:sz w:val="28"/>
          <w:szCs w:val="28"/>
          <w:lang w:val="ro-MD"/>
        </w:rPr>
        <w:t>5</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pentru eliberarea unei copii pe suport </w:t>
      </w:r>
      <w:r w:rsidR="002E3620" w:rsidRPr="00AA7B00">
        <w:rPr>
          <w:rFonts w:ascii="Times New Roman" w:eastAsia="Times New Roman" w:hAnsi="Times New Roman" w:cs="Times New Roman"/>
          <w:sz w:val="28"/>
          <w:szCs w:val="28"/>
          <w:lang w:val="ro-MD"/>
        </w:rPr>
        <w:t>durabil</w:t>
      </w:r>
      <w:r w:rsidR="00104A5F" w:rsidRPr="00AA7B00">
        <w:rPr>
          <w:rFonts w:ascii="Times New Roman" w:eastAsia="Times New Roman" w:hAnsi="Times New Roman" w:cs="Times New Roman"/>
          <w:sz w:val="28"/>
          <w:szCs w:val="28"/>
          <w:lang w:val="ro-MD"/>
        </w:rPr>
        <w:t xml:space="preserve"> a informaţiei referitoare la înscrierile din </w:t>
      </w:r>
      <w:r w:rsidR="00291BDD" w:rsidRPr="00AA7B00">
        <w:rPr>
          <w:rFonts w:ascii="Times New Roman" w:eastAsia="Times New Roman" w:hAnsi="Times New Roman" w:cs="Times New Roman"/>
          <w:sz w:val="28"/>
          <w:szCs w:val="28"/>
          <w:lang w:val="ro-MD"/>
        </w:rPr>
        <w:t xml:space="preserve">Sistemul informațional </w:t>
      </w:r>
      <w:r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eastAsia="ro-RO"/>
        </w:rPr>
        <w:t xml:space="preserve"> </w:t>
      </w:r>
      <w:r w:rsidR="00104A5F" w:rsidRPr="00AA7B00">
        <w:rPr>
          <w:rFonts w:ascii="Times New Roman" w:eastAsia="Times New Roman" w:hAnsi="Times New Roman" w:cs="Times New Roman"/>
          <w:sz w:val="28"/>
          <w:szCs w:val="28"/>
          <w:lang w:val="ro-MD"/>
        </w:rPr>
        <w:t xml:space="preserve">de până la </w:t>
      </w:r>
      <w:r w:rsidR="002E3620" w:rsidRPr="00AA7B00">
        <w:rPr>
          <w:rFonts w:ascii="Times New Roman" w:eastAsia="Times New Roman" w:hAnsi="Times New Roman" w:cs="Times New Roman"/>
          <w:sz w:val="28"/>
          <w:szCs w:val="28"/>
          <w:lang w:val="ro-MD"/>
        </w:rPr>
        <w:t>3</w:t>
      </w:r>
      <w:r w:rsidR="00104A5F" w:rsidRPr="00AA7B00">
        <w:rPr>
          <w:rFonts w:ascii="Times New Roman" w:eastAsia="Times New Roman" w:hAnsi="Times New Roman" w:cs="Times New Roman"/>
          <w:sz w:val="28"/>
          <w:szCs w:val="28"/>
          <w:lang w:val="ro-MD"/>
        </w:rPr>
        <w:t>00 lei;</w:t>
      </w:r>
    </w:p>
    <w:p w:rsidR="00104A5F" w:rsidRPr="00AA7B00" w:rsidRDefault="00264FC2"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w:t>
      </w:r>
      <w:r w:rsidR="00104A5F" w:rsidRPr="00AA7B00">
        <w:rPr>
          <w:rFonts w:ascii="Times New Roman" w:eastAsia="Times New Roman" w:hAnsi="Times New Roman" w:cs="Times New Roman"/>
          <w:sz w:val="28"/>
          <w:szCs w:val="28"/>
          <w:lang w:val="ro-MD"/>
        </w:rPr>
        <w:t>6</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pentru pregătirea şi sistematizarea documentelor</w:t>
      </w:r>
      <w:r w:rsidR="002E3620" w:rsidRPr="00AA7B00">
        <w:rPr>
          <w:rFonts w:ascii="Times New Roman" w:eastAsia="Times New Roman" w:hAnsi="Times New Roman" w:cs="Times New Roman"/>
          <w:sz w:val="28"/>
          <w:szCs w:val="28"/>
          <w:lang w:val="ro-MD"/>
        </w:rPr>
        <w:t xml:space="preserve"> conform cerințelor arhivei de stat</w:t>
      </w:r>
      <w:r w:rsidR="00104A5F" w:rsidRPr="00AA7B00">
        <w:rPr>
          <w:rFonts w:ascii="Times New Roman" w:eastAsia="Times New Roman" w:hAnsi="Times New Roman" w:cs="Times New Roman"/>
          <w:sz w:val="28"/>
          <w:szCs w:val="28"/>
          <w:lang w:val="ro-MD"/>
        </w:rPr>
        <w:t>, cu întocmirea actulu</w:t>
      </w:r>
      <w:r w:rsidRPr="00AA7B00">
        <w:rPr>
          <w:rFonts w:ascii="Times New Roman" w:eastAsia="Times New Roman" w:hAnsi="Times New Roman" w:cs="Times New Roman"/>
          <w:sz w:val="28"/>
          <w:szCs w:val="28"/>
          <w:lang w:val="ro-MD"/>
        </w:rPr>
        <w:t>i de primire-predare a acestora</w:t>
      </w:r>
      <w:r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eastAsia="ro-RO"/>
        </w:rPr>
        <w:t xml:space="preserve"> </w:t>
      </w:r>
      <w:r w:rsidR="00104A5F" w:rsidRPr="00AA7B00">
        <w:rPr>
          <w:rFonts w:ascii="Times New Roman" w:eastAsia="Times New Roman" w:hAnsi="Times New Roman" w:cs="Times New Roman"/>
          <w:sz w:val="28"/>
          <w:szCs w:val="28"/>
          <w:lang w:val="ro-MD"/>
        </w:rPr>
        <w:t xml:space="preserve">de până la </w:t>
      </w:r>
      <w:r w:rsidR="002E3620" w:rsidRPr="00AA7B00">
        <w:rPr>
          <w:rFonts w:ascii="Times New Roman" w:eastAsia="Times New Roman" w:hAnsi="Times New Roman" w:cs="Times New Roman"/>
          <w:sz w:val="28"/>
          <w:szCs w:val="28"/>
          <w:lang w:val="ro-MD"/>
        </w:rPr>
        <w:t>1</w:t>
      </w:r>
      <w:r w:rsidRPr="00AA7B00">
        <w:rPr>
          <w:rFonts w:ascii="Times New Roman" w:eastAsia="Times New Roman" w:hAnsi="Times New Roman" w:cs="Times New Roman"/>
          <w:sz w:val="28"/>
          <w:szCs w:val="28"/>
          <w:lang w:val="ro-MD"/>
        </w:rPr>
        <w:t xml:space="preserve"> </w:t>
      </w:r>
      <w:r w:rsidR="002E3620" w:rsidRPr="00AA7B00">
        <w:rPr>
          <w:rFonts w:ascii="Times New Roman" w:eastAsia="Times New Roman" w:hAnsi="Times New Roman" w:cs="Times New Roman"/>
          <w:sz w:val="28"/>
          <w:szCs w:val="28"/>
          <w:lang w:val="ro-MD"/>
        </w:rPr>
        <w:t>0</w:t>
      </w:r>
      <w:r w:rsidR="00104A5F" w:rsidRPr="00AA7B00">
        <w:rPr>
          <w:rFonts w:ascii="Times New Roman" w:eastAsia="Times New Roman" w:hAnsi="Times New Roman" w:cs="Times New Roman"/>
          <w:sz w:val="28"/>
          <w:szCs w:val="28"/>
          <w:lang w:val="ro-MD"/>
        </w:rPr>
        <w:t>00 lei pentru primul dosar</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plus până la </w:t>
      </w:r>
      <w:r w:rsidR="002E3620" w:rsidRPr="00AA7B00">
        <w:rPr>
          <w:rFonts w:ascii="Times New Roman" w:eastAsia="Times New Roman" w:hAnsi="Times New Roman" w:cs="Times New Roman"/>
          <w:sz w:val="28"/>
          <w:szCs w:val="28"/>
          <w:lang w:val="ro-MD"/>
        </w:rPr>
        <w:t>2</w:t>
      </w:r>
      <w:r w:rsidR="00104A5F" w:rsidRPr="00AA7B00">
        <w:rPr>
          <w:rFonts w:ascii="Times New Roman" w:eastAsia="Times New Roman" w:hAnsi="Times New Roman" w:cs="Times New Roman"/>
          <w:sz w:val="28"/>
          <w:szCs w:val="28"/>
          <w:lang w:val="ro-MD"/>
        </w:rPr>
        <w:t>00 lei pentru fiecare dosar adăugător ce conţine un volum de până la 100 file;</w:t>
      </w:r>
    </w:p>
    <w:p w:rsidR="00104A5F" w:rsidRPr="00AA7B00" w:rsidRDefault="00264FC2"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w:t>
      </w:r>
      <w:r w:rsidR="00104A5F" w:rsidRPr="00AA7B00">
        <w:rPr>
          <w:rFonts w:ascii="Times New Roman" w:eastAsia="Times New Roman" w:hAnsi="Times New Roman" w:cs="Times New Roman"/>
          <w:sz w:val="28"/>
          <w:szCs w:val="28"/>
          <w:lang w:val="ro-MD"/>
        </w:rPr>
        <w:t>7</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pentru păstrarea după rezilierea contractului a bazei de date în </w:t>
      </w:r>
      <w:r w:rsidR="00291BDD" w:rsidRPr="00AA7B00">
        <w:rPr>
          <w:rFonts w:ascii="Times New Roman" w:eastAsia="Times New Roman" w:hAnsi="Times New Roman" w:cs="Times New Roman"/>
          <w:sz w:val="28"/>
          <w:szCs w:val="28"/>
          <w:lang w:val="ro-MD"/>
        </w:rPr>
        <w:t>Sistemul informațional</w:t>
      </w:r>
      <w:r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eastAsia="ro-RO"/>
        </w:rPr>
        <w:t xml:space="preserve"> </w:t>
      </w:r>
      <w:r w:rsidR="00104A5F" w:rsidRPr="00AA7B00">
        <w:rPr>
          <w:rFonts w:ascii="Times New Roman" w:eastAsia="Times New Roman" w:hAnsi="Times New Roman" w:cs="Times New Roman"/>
          <w:sz w:val="28"/>
          <w:szCs w:val="28"/>
          <w:lang w:val="ro-MD"/>
        </w:rPr>
        <w:t xml:space="preserve">de până la </w:t>
      </w:r>
      <w:r w:rsidR="002E3620" w:rsidRPr="00AA7B00">
        <w:rPr>
          <w:rFonts w:ascii="Times New Roman" w:eastAsia="Times New Roman" w:hAnsi="Times New Roman" w:cs="Times New Roman"/>
          <w:sz w:val="28"/>
          <w:szCs w:val="28"/>
          <w:lang w:val="ro-MD"/>
        </w:rPr>
        <w:t>8</w:t>
      </w:r>
      <w:r w:rsidR="00104A5F" w:rsidRPr="00AA7B00">
        <w:rPr>
          <w:rFonts w:ascii="Times New Roman" w:eastAsia="Times New Roman" w:hAnsi="Times New Roman" w:cs="Times New Roman"/>
          <w:sz w:val="28"/>
          <w:szCs w:val="28"/>
          <w:lang w:val="ro-MD"/>
        </w:rPr>
        <w:t>00 lei;</w:t>
      </w:r>
    </w:p>
    <w:p w:rsidR="00104A5F" w:rsidRPr="00AA7B00" w:rsidRDefault="00264FC2"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sz w:val="28"/>
          <w:szCs w:val="28"/>
          <w:lang w:val="ro-MD"/>
        </w:rPr>
        <w:t>19.</w:t>
      </w:r>
      <w:r w:rsidR="00104A5F" w:rsidRPr="00AA7B00">
        <w:rPr>
          <w:rFonts w:ascii="Times New Roman" w:eastAsia="Times New Roman" w:hAnsi="Times New Roman" w:cs="Times New Roman"/>
          <w:sz w:val="28"/>
          <w:szCs w:val="28"/>
          <w:lang w:val="ro-MD"/>
        </w:rPr>
        <w:t>8</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pentru copiile pe purtători de hârtie ale documentelor referitoare la problemele existente nesoluţionate</w:t>
      </w:r>
      <w:r w:rsidRPr="00AA7B00">
        <w:rPr>
          <w:rFonts w:ascii="Times New Roman" w:eastAsia="Times New Roman" w:hAnsi="Times New Roman" w:cs="Times New Roman"/>
          <w:sz w:val="28"/>
          <w:szCs w:val="28"/>
          <w:lang w:val="ro-MD"/>
        </w:rPr>
        <w:t>,</w:t>
      </w:r>
      <w:r w:rsidR="00104A5F" w:rsidRPr="00AA7B00">
        <w:rPr>
          <w:rFonts w:ascii="Times New Roman" w:eastAsia="Times New Roman" w:hAnsi="Times New Roman" w:cs="Times New Roman"/>
          <w:sz w:val="28"/>
          <w:szCs w:val="28"/>
          <w:lang w:val="ro-MD"/>
        </w:rPr>
        <w:t xml:space="preserve"> care se transmit, păstra</w:t>
      </w:r>
      <w:r w:rsidRPr="00AA7B00">
        <w:rPr>
          <w:rFonts w:ascii="Times New Roman" w:eastAsia="Times New Roman" w:hAnsi="Times New Roman" w:cs="Times New Roman"/>
          <w:sz w:val="28"/>
          <w:szCs w:val="28"/>
          <w:lang w:val="ro-MD"/>
        </w:rPr>
        <w:t>te după rezilierea contractului</w:t>
      </w:r>
      <w:r w:rsidRPr="00AA7B00">
        <w:rPr>
          <w:rFonts w:ascii="Times New Roman" w:eastAsia="Times New Roman" w:hAnsi="Times New Roman" w:cs="Times New Roman"/>
          <w:sz w:val="28"/>
          <w:szCs w:val="28"/>
          <w:lang w:val="ro-MD" w:eastAsia="ro-RO"/>
        </w:rPr>
        <w:t xml:space="preserve"> </w:t>
      </w:r>
      <w:r w:rsidRPr="00AA7B00">
        <w:rPr>
          <w:rFonts w:ascii="Times New Roman" w:eastAsia="Times New Roman" w:hAnsi="Times New Roman" w:cs="Times New Roman"/>
          <w:sz w:val="28"/>
          <w:szCs w:val="28"/>
          <w:lang w:val="ro-MD"/>
        </w:rPr>
        <w:t>–</w:t>
      </w:r>
      <w:r w:rsidRPr="00AA7B00">
        <w:rPr>
          <w:rFonts w:ascii="Times New Roman" w:eastAsia="Times New Roman" w:hAnsi="Times New Roman" w:cs="Times New Roman"/>
          <w:sz w:val="28"/>
          <w:szCs w:val="28"/>
          <w:lang w:val="ro-MD" w:eastAsia="ro-RO"/>
        </w:rPr>
        <w:t xml:space="preserve"> </w:t>
      </w:r>
      <w:r w:rsidR="00104A5F" w:rsidRPr="00AA7B00">
        <w:rPr>
          <w:rFonts w:ascii="Times New Roman" w:eastAsia="Times New Roman" w:hAnsi="Times New Roman" w:cs="Times New Roman"/>
          <w:sz w:val="28"/>
          <w:szCs w:val="28"/>
          <w:lang w:val="ro-MD"/>
        </w:rPr>
        <w:t xml:space="preserve">de până la </w:t>
      </w:r>
      <w:r w:rsidR="002E3620" w:rsidRPr="00AA7B00">
        <w:rPr>
          <w:rFonts w:ascii="Times New Roman" w:eastAsia="Times New Roman" w:hAnsi="Times New Roman" w:cs="Times New Roman"/>
          <w:sz w:val="28"/>
          <w:szCs w:val="28"/>
          <w:lang w:val="ro-MD"/>
        </w:rPr>
        <w:t>2</w:t>
      </w:r>
      <w:r w:rsidR="00104A5F" w:rsidRPr="00AA7B00">
        <w:rPr>
          <w:rFonts w:ascii="Times New Roman" w:eastAsia="Times New Roman" w:hAnsi="Times New Roman" w:cs="Times New Roman"/>
          <w:sz w:val="28"/>
          <w:szCs w:val="28"/>
          <w:lang w:val="ro-MD"/>
        </w:rPr>
        <w:t xml:space="preserve"> le</w:t>
      </w:r>
      <w:r w:rsidR="002E3620" w:rsidRPr="00AA7B00">
        <w:rPr>
          <w:rFonts w:ascii="Times New Roman" w:eastAsia="Times New Roman" w:hAnsi="Times New Roman" w:cs="Times New Roman"/>
          <w:sz w:val="28"/>
          <w:szCs w:val="28"/>
          <w:lang w:val="ro-MD"/>
        </w:rPr>
        <w:t>i</w:t>
      </w:r>
      <w:r w:rsidR="00104A5F" w:rsidRPr="00AA7B00">
        <w:rPr>
          <w:rFonts w:ascii="Times New Roman" w:eastAsia="Times New Roman" w:hAnsi="Times New Roman" w:cs="Times New Roman"/>
          <w:sz w:val="28"/>
          <w:szCs w:val="28"/>
          <w:lang w:val="ro-MD"/>
        </w:rPr>
        <w:t xml:space="preserve"> </w:t>
      </w:r>
      <w:r w:rsidR="002E3620" w:rsidRPr="00AA7B00">
        <w:rPr>
          <w:rFonts w:ascii="Times New Roman" w:eastAsia="Times New Roman" w:hAnsi="Times New Roman" w:cs="Times New Roman"/>
          <w:sz w:val="28"/>
          <w:szCs w:val="28"/>
          <w:lang w:val="ro-MD"/>
        </w:rPr>
        <w:t>per pagină</w:t>
      </w:r>
      <w:r w:rsidR="00104A5F" w:rsidRPr="00AA7B00">
        <w:rPr>
          <w:rFonts w:ascii="Times New Roman" w:eastAsia="Times New Roman" w:hAnsi="Times New Roman" w:cs="Times New Roman"/>
          <w:sz w:val="28"/>
          <w:szCs w:val="28"/>
          <w:lang w:val="ro-MD"/>
        </w:rPr>
        <w:t>.</w:t>
      </w:r>
    </w:p>
    <w:p w:rsidR="00A722FF" w:rsidRPr="00AA7B00" w:rsidRDefault="00A722FF" w:rsidP="00AA7B00">
      <w:pPr>
        <w:spacing w:after="0" w:line="240" w:lineRule="auto"/>
        <w:jc w:val="both"/>
        <w:rPr>
          <w:rFonts w:ascii="Times New Roman" w:eastAsia="Times New Roman" w:hAnsi="Times New Roman" w:cs="Times New Roman"/>
          <w:sz w:val="28"/>
          <w:szCs w:val="28"/>
          <w:lang w:val="ro-MD"/>
        </w:rPr>
      </w:pPr>
    </w:p>
    <w:p w:rsidR="00A722FF" w:rsidRPr="00AA7B00" w:rsidRDefault="00A722FF" w:rsidP="00AA7B00">
      <w:pPr>
        <w:spacing w:after="0" w:line="240" w:lineRule="auto"/>
        <w:jc w:val="center"/>
        <w:rPr>
          <w:rFonts w:ascii="Times New Roman" w:eastAsia="Times New Roman" w:hAnsi="Times New Roman" w:cs="Times New Roman"/>
          <w:b/>
          <w:bCs/>
          <w:sz w:val="28"/>
          <w:szCs w:val="28"/>
          <w:lang w:val="ro-MD"/>
        </w:rPr>
      </w:pPr>
      <w:r w:rsidRPr="00AA7B00">
        <w:rPr>
          <w:rFonts w:ascii="Times New Roman" w:eastAsia="Times New Roman" w:hAnsi="Times New Roman" w:cs="Times New Roman"/>
          <w:b/>
          <w:bCs/>
          <w:sz w:val="28"/>
          <w:szCs w:val="28"/>
          <w:lang w:val="ro-MD"/>
        </w:rPr>
        <w:t xml:space="preserve">III. </w:t>
      </w:r>
      <w:r w:rsidR="00264FC2" w:rsidRPr="00AA7B00">
        <w:rPr>
          <w:rFonts w:ascii="Times New Roman" w:eastAsia="Times New Roman" w:hAnsi="Times New Roman" w:cs="Times New Roman"/>
          <w:b/>
          <w:bCs/>
          <w:sz w:val="28"/>
          <w:szCs w:val="28"/>
          <w:lang w:val="ro-MD"/>
        </w:rPr>
        <w:t>Cuantumul maxim al taxelor pentru a</w:t>
      </w:r>
      <w:r w:rsidRPr="00AA7B00">
        <w:rPr>
          <w:rFonts w:ascii="Times New Roman" w:eastAsia="Times New Roman" w:hAnsi="Times New Roman" w:cs="Times New Roman"/>
          <w:b/>
          <w:bCs/>
          <w:sz w:val="28"/>
          <w:szCs w:val="28"/>
          <w:lang w:val="ro-MD"/>
        </w:rPr>
        <w:t>lte serviciile acordate de societatea de registru</w:t>
      </w:r>
    </w:p>
    <w:p w:rsidR="00654510" w:rsidRPr="00AA7B00" w:rsidRDefault="00714AB3"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sz w:val="28"/>
          <w:szCs w:val="28"/>
          <w:lang w:val="ro-MD"/>
        </w:rPr>
        <w:t>20</w:t>
      </w:r>
      <w:r w:rsidR="00913E69" w:rsidRPr="00AA7B00">
        <w:rPr>
          <w:rFonts w:ascii="Times New Roman" w:eastAsia="Times New Roman" w:hAnsi="Times New Roman" w:cs="Times New Roman"/>
          <w:sz w:val="28"/>
          <w:szCs w:val="28"/>
          <w:lang w:val="ro-MD"/>
        </w:rPr>
        <w:t xml:space="preserve">. </w:t>
      </w:r>
      <w:r w:rsidR="00654510" w:rsidRPr="00AA7B00">
        <w:rPr>
          <w:rFonts w:ascii="Times New Roman" w:eastAsia="Times New Roman" w:hAnsi="Times New Roman" w:cs="Times New Roman"/>
          <w:sz w:val="28"/>
          <w:szCs w:val="28"/>
          <w:lang w:val="ro-MD"/>
        </w:rPr>
        <w:t>Pentru perfectarea informațiilor și</w:t>
      </w:r>
      <w:r w:rsidR="00264FC2" w:rsidRPr="00AA7B00">
        <w:rPr>
          <w:rFonts w:ascii="Times New Roman" w:eastAsia="Times New Roman" w:hAnsi="Times New Roman" w:cs="Times New Roman"/>
          <w:sz w:val="28"/>
          <w:szCs w:val="28"/>
          <w:lang w:val="ro-MD"/>
        </w:rPr>
        <w:t xml:space="preserve"> a</w:t>
      </w:r>
      <w:r w:rsidR="00654510" w:rsidRPr="00AA7B00">
        <w:rPr>
          <w:rFonts w:ascii="Times New Roman" w:eastAsia="Times New Roman" w:hAnsi="Times New Roman" w:cs="Times New Roman"/>
          <w:sz w:val="28"/>
          <w:szCs w:val="28"/>
          <w:lang w:val="ro-MD"/>
        </w:rPr>
        <w:t xml:space="preserve"> rapoartelor la cererea clientului, altele decât cele generate</w:t>
      </w:r>
      <w:r w:rsidR="00264FC2" w:rsidRPr="00AA7B00">
        <w:rPr>
          <w:rFonts w:ascii="Times New Roman" w:eastAsia="Times New Roman" w:hAnsi="Times New Roman" w:cs="Times New Roman"/>
          <w:sz w:val="28"/>
          <w:szCs w:val="28"/>
          <w:lang w:val="ro-MD"/>
        </w:rPr>
        <w:t>,</w:t>
      </w:r>
      <w:r w:rsidR="00654510" w:rsidRPr="00AA7B00">
        <w:rPr>
          <w:rFonts w:ascii="Times New Roman" w:eastAsia="Times New Roman" w:hAnsi="Times New Roman" w:cs="Times New Roman"/>
          <w:sz w:val="28"/>
          <w:szCs w:val="28"/>
          <w:lang w:val="ro-MD"/>
        </w:rPr>
        <w:t xml:space="preserve"> în mod automat</w:t>
      </w:r>
      <w:r w:rsidR="00264FC2" w:rsidRPr="00AA7B00">
        <w:rPr>
          <w:rFonts w:ascii="Times New Roman" w:eastAsia="Times New Roman" w:hAnsi="Times New Roman" w:cs="Times New Roman"/>
          <w:sz w:val="28"/>
          <w:szCs w:val="28"/>
          <w:lang w:val="ro-MD"/>
        </w:rPr>
        <w:t>,</w:t>
      </w:r>
      <w:r w:rsidR="00654510" w:rsidRPr="00AA7B00">
        <w:rPr>
          <w:rFonts w:ascii="Times New Roman" w:eastAsia="Times New Roman" w:hAnsi="Times New Roman" w:cs="Times New Roman"/>
          <w:sz w:val="28"/>
          <w:szCs w:val="28"/>
          <w:lang w:val="ro-MD"/>
        </w:rPr>
        <w:t xml:space="preserve"> din Sistemul informațional, se stabileşte un preţ de până la 100 lei pentru persoană fizică și până la 500 lei pentru persoană juridică.</w:t>
      </w:r>
    </w:p>
    <w:p w:rsidR="00AA073A" w:rsidRPr="00AA7B00" w:rsidRDefault="002E3620" w:rsidP="00AA7B00">
      <w:pPr>
        <w:spacing w:after="0" w:line="240" w:lineRule="auto"/>
        <w:jc w:val="both"/>
        <w:rPr>
          <w:rFonts w:ascii="Times New Roman" w:eastAsia="Times New Roman" w:hAnsi="Times New Roman" w:cs="Times New Roman"/>
          <w:sz w:val="28"/>
          <w:szCs w:val="28"/>
          <w:lang w:val="ro-MD"/>
        </w:rPr>
      </w:pPr>
      <w:r w:rsidRPr="00AA7B00">
        <w:rPr>
          <w:rFonts w:ascii="Times New Roman" w:eastAsia="Times New Roman" w:hAnsi="Times New Roman" w:cs="Times New Roman"/>
          <w:b/>
          <w:sz w:val="28"/>
          <w:szCs w:val="28"/>
          <w:lang w:val="ro-MD"/>
        </w:rPr>
        <w:t>2</w:t>
      </w:r>
      <w:r w:rsidR="00714AB3" w:rsidRPr="00AA7B00">
        <w:rPr>
          <w:rFonts w:ascii="Times New Roman" w:eastAsia="Times New Roman" w:hAnsi="Times New Roman" w:cs="Times New Roman"/>
          <w:b/>
          <w:sz w:val="28"/>
          <w:szCs w:val="28"/>
          <w:lang w:val="ro-MD"/>
        </w:rPr>
        <w:t>1</w:t>
      </w:r>
      <w:r w:rsidR="00654510" w:rsidRPr="00AA7B00">
        <w:rPr>
          <w:rFonts w:ascii="Times New Roman" w:eastAsia="Times New Roman" w:hAnsi="Times New Roman" w:cs="Times New Roman"/>
          <w:b/>
          <w:sz w:val="28"/>
          <w:szCs w:val="28"/>
          <w:lang w:val="ro-MD"/>
        </w:rPr>
        <w:t>.</w:t>
      </w:r>
      <w:r w:rsidR="00654510" w:rsidRPr="00AA7B00">
        <w:rPr>
          <w:rFonts w:ascii="Times New Roman" w:eastAsia="Times New Roman" w:hAnsi="Times New Roman" w:cs="Times New Roman"/>
          <w:sz w:val="28"/>
          <w:szCs w:val="28"/>
          <w:lang w:val="ro-MD"/>
        </w:rPr>
        <w:t xml:space="preserve"> </w:t>
      </w:r>
      <w:r w:rsidR="00AA073A" w:rsidRPr="00AA7B00">
        <w:rPr>
          <w:rFonts w:ascii="Times New Roman" w:eastAsia="Times New Roman" w:hAnsi="Times New Roman" w:cs="Times New Roman"/>
          <w:sz w:val="28"/>
          <w:szCs w:val="28"/>
          <w:lang w:val="ro-MD"/>
        </w:rPr>
        <w:t xml:space="preserve">Plata pentru desfășurarea activităților </w:t>
      </w:r>
      <w:r w:rsidR="004D1F58" w:rsidRPr="00AA7B00">
        <w:rPr>
          <w:rFonts w:ascii="Times New Roman" w:eastAsia="Times New Roman" w:hAnsi="Times New Roman" w:cs="Times New Roman"/>
          <w:sz w:val="28"/>
          <w:szCs w:val="28"/>
          <w:lang w:val="ro-MD"/>
        </w:rPr>
        <w:t>conexe</w:t>
      </w:r>
      <w:r w:rsidR="00264FC2" w:rsidRPr="00AA7B00">
        <w:rPr>
          <w:rFonts w:ascii="Times New Roman" w:eastAsia="Times New Roman" w:hAnsi="Times New Roman" w:cs="Times New Roman"/>
          <w:sz w:val="28"/>
          <w:szCs w:val="28"/>
          <w:lang w:val="ro-MD"/>
        </w:rPr>
        <w:t>,</w:t>
      </w:r>
      <w:r w:rsidR="00AA073A" w:rsidRPr="00AA7B00">
        <w:rPr>
          <w:rFonts w:ascii="Times New Roman" w:eastAsia="Times New Roman" w:hAnsi="Times New Roman" w:cs="Times New Roman"/>
          <w:sz w:val="28"/>
          <w:szCs w:val="28"/>
          <w:lang w:val="ro-MD"/>
        </w:rPr>
        <w:t xml:space="preserve"> </w:t>
      </w:r>
      <w:r w:rsidR="00264FC2" w:rsidRPr="00AA7B00">
        <w:rPr>
          <w:rFonts w:ascii="Times New Roman" w:eastAsia="Times New Roman" w:hAnsi="Times New Roman" w:cs="Times New Roman"/>
          <w:sz w:val="28"/>
          <w:szCs w:val="28"/>
          <w:lang w:val="ro-MD"/>
        </w:rPr>
        <w:t>conform</w:t>
      </w:r>
      <w:r w:rsidR="004D1F58" w:rsidRPr="00AA7B00">
        <w:rPr>
          <w:rFonts w:ascii="Times New Roman" w:eastAsia="Times New Roman" w:hAnsi="Times New Roman" w:cs="Times New Roman"/>
          <w:sz w:val="28"/>
          <w:szCs w:val="28"/>
          <w:lang w:val="ro-MD"/>
        </w:rPr>
        <w:t xml:space="preserve"> L</w:t>
      </w:r>
      <w:r w:rsidR="002F7890" w:rsidRPr="00AA7B00">
        <w:rPr>
          <w:rFonts w:ascii="Times New Roman" w:eastAsia="Times New Roman" w:hAnsi="Times New Roman" w:cs="Times New Roman"/>
          <w:sz w:val="28"/>
          <w:szCs w:val="28"/>
          <w:lang w:val="ro-MD"/>
        </w:rPr>
        <w:t>eg</w:t>
      </w:r>
      <w:r w:rsidR="00975572" w:rsidRPr="00AA7B00">
        <w:rPr>
          <w:rFonts w:ascii="Times New Roman" w:eastAsia="Times New Roman" w:hAnsi="Times New Roman" w:cs="Times New Roman"/>
          <w:sz w:val="28"/>
          <w:szCs w:val="28"/>
          <w:lang w:val="ro-MD"/>
        </w:rPr>
        <w:t>ii</w:t>
      </w:r>
      <w:r w:rsidR="002F7890" w:rsidRPr="00AA7B00">
        <w:rPr>
          <w:rFonts w:ascii="Times New Roman" w:eastAsia="Times New Roman" w:hAnsi="Times New Roman" w:cs="Times New Roman"/>
          <w:sz w:val="28"/>
          <w:szCs w:val="28"/>
          <w:lang w:val="ro-MD"/>
        </w:rPr>
        <w:t xml:space="preserve"> nr.</w:t>
      </w:r>
      <w:r w:rsidR="00533FC0" w:rsidRPr="00AA7B00">
        <w:rPr>
          <w:rFonts w:ascii="Times New Roman" w:eastAsia="Times New Roman" w:hAnsi="Times New Roman" w:cs="Times New Roman"/>
          <w:sz w:val="28"/>
          <w:szCs w:val="28"/>
          <w:lang w:val="ro-MD"/>
        </w:rPr>
        <w:t xml:space="preserve"> </w:t>
      </w:r>
      <w:r w:rsidR="002F7890" w:rsidRPr="00AA7B00">
        <w:rPr>
          <w:rFonts w:ascii="Times New Roman" w:eastAsia="Times New Roman" w:hAnsi="Times New Roman" w:cs="Times New Roman"/>
          <w:sz w:val="28"/>
          <w:szCs w:val="28"/>
          <w:lang w:val="ro-MD"/>
        </w:rPr>
        <w:t xml:space="preserve">171/2012 </w:t>
      </w:r>
      <w:r w:rsidR="004D1F58" w:rsidRPr="00AA7B00">
        <w:rPr>
          <w:rFonts w:ascii="Times New Roman" w:eastAsia="Times New Roman" w:hAnsi="Times New Roman" w:cs="Times New Roman"/>
          <w:sz w:val="28"/>
          <w:szCs w:val="28"/>
          <w:lang w:val="ro-MD"/>
        </w:rPr>
        <w:t>privind piața de capital</w:t>
      </w:r>
      <w:r w:rsidR="00264FC2" w:rsidRPr="00AA7B00">
        <w:rPr>
          <w:rFonts w:ascii="Times New Roman" w:eastAsia="Times New Roman" w:hAnsi="Times New Roman" w:cs="Times New Roman"/>
          <w:sz w:val="28"/>
          <w:szCs w:val="28"/>
          <w:lang w:val="ro-MD"/>
        </w:rPr>
        <w:t>,</w:t>
      </w:r>
      <w:r w:rsidR="004D1F58" w:rsidRPr="00AA7B00">
        <w:rPr>
          <w:rFonts w:ascii="Times New Roman" w:eastAsia="Times New Roman" w:hAnsi="Times New Roman" w:cs="Times New Roman"/>
          <w:sz w:val="28"/>
          <w:szCs w:val="28"/>
          <w:lang w:val="ro-MD"/>
        </w:rPr>
        <w:t xml:space="preserve"> </w:t>
      </w:r>
      <w:r w:rsidR="00AA073A" w:rsidRPr="00AA7B00">
        <w:rPr>
          <w:rFonts w:ascii="Times New Roman" w:eastAsia="Times New Roman" w:hAnsi="Times New Roman" w:cs="Times New Roman"/>
          <w:sz w:val="28"/>
          <w:szCs w:val="28"/>
          <w:lang w:val="ro-MD"/>
        </w:rPr>
        <w:t>se stabile</w:t>
      </w:r>
      <w:r w:rsidR="0091625B" w:rsidRPr="00AA7B00">
        <w:rPr>
          <w:rFonts w:ascii="Times New Roman" w:eastAsia="Times New Roman" w:hAnsi="Times New Roman" w:cs="Times New Roman"/>
          <w:sz w:val="28"/>
          <w:szCs w:val="28"/>
          <w:lang w:val="ro-MD"/>
        </w:rPr>
        <w:t>ște</w:t>
      </w:r>
      <w:r w:rsidR="00AA073A" w:rsidRPr="00AA7B00">
        <w:rPr>
          <w:rFonts w:ascii="Times New Roman" w:eastAsia="Times New Roman" w:hAnsi="Times New Roman" w:cs="Times New Roman"/>
          <w:sz w:val="28"/>
          <w:szCs w:val="28"/>
          <w:lang w:val="ro-MD"/>
        </w:rPr>
        <w:t xml:space="preserve"> </w:t>
      </w:r>
      <w:r w:rsidR="0091625B" w:rsidRPr="00AA7B00">
        <w:rPr>
          <w:rFonts w:ascii="Times New Roman" w:eastAsia="Times New Roman" w:hAnsi="Times New Roman" w:cs="Times New Roman"/>
          <w:sz w:val="28"/>
          <w:szCs w:val="28"/>
          <w:lang w:val="ro-MD"/>
        </w:rPr>
        <w:t xml:space="preserve">detaliat în contractul de prestare a serviciului, </w:t>
      </w:r>
      <w:r w:rsidR="00AA073A" w:rsidRPr="00AA7B00">
        <w:rPr>
          <w:rFonts w:ascii="Times New Roman" w:eastAsia="Times New Roman" w:hAnsi="Times New Roman" w:cs="Times New Roman"/>
          <w:sz w:val="28"/>
          <w:szCs w:val="28"/>
          <w:lang w:val="ro-MD"/>
        </w:rPr>
        <w:t>potrivit negocierilor între părți</w:t>
      </w:r>
      <w:r w:rsidR="007F4108" w:rsidRPr="00AA7B00">
        <w:rPr>
          <w:rFonts w:ascii="Times New Roman" w:eastAsia="Times New Roman" w:hAnsi="Times New Roman" w:cs="Times New Roman"/>
          <w:sz w:val="28"/>
          <w:szCs w:val="28"/>
          <w:lang w:val="ro-MD"/>
        </w:rPr>
        <w:t xml:space="preserve"> (registrator</w:t>
      </w:r>
      <w:r w:rsidR="000509A4" w:rsidRPr="00AA7B00">
        <w:rPr>
          <w:rFonts w:ascii="Times New Roman" w:eastAsia="Times New Roman" w:hAnsi="Times New Roman" w:cs="Times New Roman"/>
          <w:sz w:val="28"/>
          <w:szCs w:val="28"/>
          <w:lang w:val="ro-MD"/>
        </w:rPr>
        <w:t xml:space="preserve"> – </w:t>
      </w:r>
      <w:r w:rsidR="00A80605" w:rsidRPr="00AA7B00">
        <w:rPr>
          <w:rFonts w:ascii="Times New Roman" w:eastAsia="Times New Roman" w:hAnsi="Times New Roman" w:cs="Times New Roman"/>
          <w:sz w:val="28"/>
          <w:szCs w:val="28"/>
          <w:lang w:val="ro-MD"/>
        </w:rPr>
        <w:t>client</w:t>
      </w:r>
      <w:r w:rsidR="007F4108" w:rsidRPr="00AA7B00">
        <w:rPr>
          <w:rFonts w:ascii="Times New Roman" w:eastAsia="Times New Roman" w:hAnsi="Times New Roman" w:cs="Times New Roman"/>
          <w:sz w:val="28"/>
          <w:szCs w:val="28"/>
          <w:lang w:val="ro-MD"/>
        </w:rPr>
        <w:t>)</w:t>
      </w:r>
      <w:r w:rsidR="0091625B" w:rsidRPr="00AA7B00">
        <w:rPr>
          <w:rFonts w:ascii="Times New Roman" w:eastAsia="Times New Roman" w:hAnsi="Times New Roman" w:cs="Times New Roman"/>
          <w:sz w:val="28"/>
          <w:szCs w:val="28"/>
          <w:lang w:val="ro-MD"/>
        </w:rPr>
        <w:t xml:space="preserve">. </w:t>
      </w:r>
      <w:r w:rsidR="00C67F27" w:rsidRPr="00AA7B00">
        <w:rPr>
          <w:rFonts w:ascii="Times New Roman" w:eastAsia="Times New Roman" w:hAnsi="Times New Roman" w:cs="Times New Roman"/>
          <w:sz w:val="28"/>
          <w:szCs w:val="28"/>
          <w:lang w:val="ro-MD"/>
        </w:rPr>
        <w:t>Fiecare plată se efectuează în temeiul actului/raportului aferent serviciului prestat.</w:t>
      </w:r>
    </w:p>
    <w:p w:rsidR="00AD78CD" w:rsidRPr="00AA7B00" w:rsidRDefault="00AD78CD" w:rsidP="00AA7B00">
      <w:pPr>
        <w:spacing w:after="0" w:line="240" w:lineRule="auto"/>
        <w:rPr>
          <w:rFonts w:ascii="Times New Roman" w:hAnsi="Times New Roman" w:cs="Times New Roman"/>
          <w:sz w:val="28"/>
          <w:szCs w:val="28"/>
          <w:lang w:val="ro-MD"/>
        </w:rPr>
      </w:pPr>
      <w:bookmarkStart w:id="0" w:name="_GoBack"/>
      <w:bookmarkEnd w:id="0"/>
    </w:p>
    <w:sectPr w:rsidR="00AD78CD" w:rsidRPr="00AA7B00" w:rsidSect="00AA7B00">
      <w:pgSz w:w="11906" w:h="16838" w:code="9"/>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14" w:rsidRDefault="002C0714" w:rsidP="00E26F57">
      <w:pPr>
        <w:spacing w:after="0" w:line="240" w:lineRule="auto"/>
      </w:pPr>
      <w:r>
        <w:separator/>
      </w:r>
    </w:p>
  </w:endnote>
  <w:endnote w:type="continuationSeparator" w:id="0">
    <w:p w:rsidR="002C0714" w:rsidRDefault="002C0714" w:rsidP="00E2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14" w:rsidRDefault="002C0714" w:rsidP="00E26F57">
      <w:pPr>
        <w:spacing w:after="0" w:line="240" w:lineRule="auto"/>
      </w:pPr>
      <w:r>
        <w:separator/>
      </w:r>
    </w:p>
  </w:footnote>
  <w:footnote w:type="continuationSeparator" w:id="0">
    <w:p w:rsidR="002C0714" w:rsidRDefault="002C0714" w:rsidP="00E26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F5A"/>
    <w:multiLevelType w:val="multilevel"/>
    <w:tmpl w:val="FAD6690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1451D93"/>
    <w:multiLevelType w:val="multilevel"/>
    <w:tmpl w:val="927E78F4"/>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0E1A47"/>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121ACE"/>
    <w:multiLevelType w:val="hybridMultilevel"/>
    <w:tmpl w:val="E29631CC"/>
    <w:lvl w:ilvl="0" w:tplc="B8648140">
      <w:start w:val="1"/>
      <w:numFmt w:val="decimal"/>
      <w:lvlText w:val="%1."/>
      <w:lvlJc w:val="left"/>
      <w:pPr>
        <w:ind w:left="927" w:hanging="360"/>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5FC30A88"/>
    <w:multiLevelType w:val="multilevel"/>
    <w:tmpl w:val="8F58CA4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FB246AB"/>
    <w:multiLevelType w:val="multilevel"/>
    <w:tmpl w:val="C564402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9201B27"/>
    <w:multiLevelType w:val="hybridMultilevel"/>
    <w:tmpl w:val="B01E12EE"/>
    <w:lvl w:ilvl="0" w:tplc="B718866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B2"/>
    <w:rsid w:val="00010576"/>
    <w:rsid w:val="00025996"/>
    <w:rsid w:val="00032B25"/>
    <w:rsid w:val="000509A4"/>
    <w:rsid w:val="000511A7"/>
    <w:rsid w:val="00064EBA"/>
    <w:rsid w:val="000672BE"/>
    <w:rsid w:val="00086864"/>
    <w:rsid w:val="00096929"/>
    <w:rsid w:val="000B22AF"/>
    <w:rsid w:val="000C184B"/>
    <w:rsid w:val="000C624B"/>
    <w:rsid w:val="000D0C4C"/>
    <w:rsid w:val="000D1E60"/>
    <w:rsid w:val="00104A5F"/>
    <w:rsid w:val="00111C39"/>
    <w:rsid w:val="00141F71"/>
    <w:rsid w:val="00150CBE"/>
    <w:rsid w:val="0016628E"/>
    <w:rsid w:val="00171FB4"/>
    <w:rsid w:val="001863B8"/>
    <w:rsid w:val="00192A6C"/>
    <w:rsid w:val="00196BB0"/>
    <w:rsid w:val="001A5F84"/>
    <w:rsid w:val="001C4082"/>
    <w:rsid w:val="00216D9D"/>
    <w:rsid w:val="00227869"/>
    <w:rsid w:val="00230AAC"/>
    <w:rsid w:val="00246B01"/>
    <w:rsid w:val="00256B77"/>
    <w:rsid w:val="002576E1"/>
    <w:rsid w:val="0026383D"/>
    <w:rsid w:val="00264FC2"/>
    <w:rsid w:val="0026589E"/>
    <w:rsid w:val="00266F5F"/>
    <w:rsid w:val="002715B7"/>
    <w:rsid w:val="00291BDD"/>
    <w:rsid w:val="002944EC"/>
    <w:rsid w:val="002C0714"/>
    <w:rsid w:val="002D02B6"/>
    <w:rsid w:val="002D1945"/>
    <w:rsid w:val="002E3620"/>
    <w:rsid w:val="002F7890"/>
    <w:rsid w:val="00301F0E"/>
    <w:rsid w:val="00301F12"/>
    <w:rsid w:val="003078A0"/>
    <w:rsid w:val="00320A6B"/>
    <w:rsid w:val="003259AD"/>
    <w:rsid w:val="003377E1"/>
    <w:rsid w:val="00344783"/>
    <w:rsid w:val="003454E3"/>
    <w:rsid w:val="0034556D"/>
    <w:rsid w:val="00366771"/>
    <w:rsid w:val="00367A55"/>
    <w:rsid w:val="00392BD8"/>
    <w:rsid w:val="00394E8D"/>
    <w:rsid w:val="003A1FC9"/>
    <w:rsid w:val="003A425E"/>
    <w:rsid w:val="003A5AC9"/>
    <w:rsid w:val="003B3B7B"/>
    <w:rsid w:val="003C21B7"/>
    <w:rsid w:val="003C2274"/>
    <w:rsid w:val="003E3838"/>
    <w:rsid w:val="003F37E4"/>
    <w:rsid w:val="00402B4B"/>
    <w:rsid w:val="0041747A"/>
    <w:rsid w:val="004406CA"/>
    <w:rsid w:val="0045281D"/>
    <w:rsid w:val="0046659C"/>
    <w:rsid w:val="00477FFE"/>
    <w:rsid w:val="004A0397"/>
    <w:rsid w:val="004C61EE"/>
    <w:rsid w:val="004D1F58"/>
    <w:rsid w:val="004F646C"/>
    <w:rsid w:val="00520DE6"/>
    <w:rsid w:val="00526974"/>
    <w:rsid w:val="00533FC0"/>
    <w:rsid w:val="00542DDE"/>
    <w:rsid w:val="00555E96"/>
    <w:rsid w:val="005571B6"/>
    <w:rsid w:val="005838FC"/>
    <w:rsid w:val="0059225E"/>
    <w:rsid w:val="005A7872"/>
    <w:rsid w:val="005C0298"/>
    <w:rsid w:val="005E4F96"/>
    <w:rsid w:val="005E67C3"/>
    <w:rsid w:val="00601FEE"/>
    <w:rsid w:val="00621655"/>
    <w:rsid w:val="00625F3A"/>
    <w:rsid w:val="00654510"/>
    <w:rsid w:val="00663828"/>
    <w:rsid w:val="00690E96"/>
    <w:rsid w:val="006B2BDC"/>
    <w:rsid w:val="00714AB3"/>
    <w:rsid w:val="00734289"/>
    <w:rsid w:val="00755496"/>
    <w:rsid w:val="00777D19"/>
    <w:rsid w:val="007803D8"/>
    <w:rsid w:val="007B0745"/>
    <w:rsid w:val="007C0823"/>
    <w:rsid w:val="007C4A85"/>
    <w:rsid w:val="007D4394"/>
    <w:rsid w:val="007E024A"/>
    <w:rsid w:val="007F4108"/>
    <w:rsid w:val="008009C3"/>
    <w:rsid w:val="0083269E"/>
    <w:rsid w:val="008678D1"/>
    <w:rsid w:val="00894CE8"/>
    <w:rsid w:val="008A20AE"/>
    <w:rsid w:val="008C48CE"/>
    <w:rsid w:val="008C7B01"/>
    <w:rsid w:val="008F5EA7"/>
    <w:rsid w:val="00913E69"/>
    <w:rsid w:val="0091625B"/>
    <w:rsid w:val="00930252"/>
    <w:rsid w:val="009406FA"/>
    <w:rsid w:val="00951E4E"/>
    <w:rsid w:val="00975572"/>
    <w:rsid w:val="009831D3"/>
    <w:rsid w:val="00984773"/>
    <w:rsid w:val="009C2A9E"/>
    <w:rsid w:val="009D1F2B"/>
    <w:rsid w:val="009F236B"/>
    <w:rsid w:val="00A02934"/>
    <w:rsid w:val="00A17E6E"/>
    <w:rsid w:val="00A50211"/>
    <w:rsid w:val="00A722FF"/>
    <w:rsid w:val="00A80605"/>
    <w:rsid w:val="00A930A3"/>
    <w:rsid w:val="00A955A6"/>
    <w:rsid w:val="00A97A15"/>
    <w:rsid w:val="00AA073A"/>
    <w:rsid w:val="00AA2EDE"/>
    <w:rsid w:val="00AA7B00"/>
    <w:rsid w:val="00AC6BB2"/>
    <w:rsid w:val="00AD093B"/>
    <w:rsid w:val="00AD53E6"/>
    <w:rsid w:val="00AD78CD"/>
    <w:rsid w:val="00B17447"/>
    <w:rsid w:val="00B226E2"/>
    <w:rsid w:val="00B62FF6"/>
    <w:rsid w:val="00B7479A"/>
    <w:rsid w:val="00B75C1C"/>
    <w:rsid w:val="00BC7E41"/>
    <w:rsid w:val="00BE202F"/>
    <w:rsid w:val="00C06238"/>
    <w:rsid w:val="00C12743"/>
    <w:rsid w:val="00C41D20"/>
    <w:rsid w:val="00C46038"/>
    <w:rsid w:val="00C52E25"/>
    <w:rsid w:val="00C67F27"/>
    <w:rsid w:val="00C84113"/>
    <w:rsid w:val="00C8783B"/>
    <w:rsid w:val="00C949B4"/>
    <w:rsid w:val="00CA309E"/>
    <w:rsid w:val="00CB1F61"/>
    <w:rsid w:val="00CB2F1F"/>
    <w:rsid w:val="00CB51BA"/>
    <w:rsid w:val="00CC2AEB"/>
    <w:rsid w:val="00CC30CD"/>
    <w:rsid w:val="00CC4482"/>
    <w:rsid w:val="00CC63EF"/>
    <w:rsid w:val="00CC7384"/>
    <w:rsid w:val="00CD2407"/>
    <w:rsid w:val="00CD2520"/>
    <w:rsid w:val="00CF3F4A"/>
    <w:rsid w:val="00CF4331"/>
    <w:rsid w:val="00CF4EA4"/>
    <w:rsid w:val="00CF5FA5"/>
    <w:rsid w:val="00D166E4"/>
    <w:rsid w:val="00D20F41"/>
    <w:rsid w:val="00D25E8F"/>
    <w:rsid w:val="00D26E61"/>
    <w:rsid w:val="00D34A07"/>
    <w:rsid w:val="00D36981"/>
    <w:rsid w:val="00DB2594"/>
    <w:rsid w:val="00DB7EF1"/>
    <w:rsid w:val="00DD0C75"/>
    <w:rsid w:val="00DD1B00"/>
    <w:rsid w:val="00DF0BBD"/>
    <w:rsid w:val="00E04D6E"/>
    <w:rsid w:val="00E15E6A"/>
    <w:rsid w:val="00E17D54"/>
    <w:rsid w:val="00E26F57"/>
    <w:rsid w:val="00E311B7"/>
    <w:rsid w:val="00E36AEA"/>
    <w:rsid w:val="00E375C9"/>
    <w:rsid w:val="00E42FD2"/>
    <w:rsid w:val="00E74564"/>
    <w:rsid w:val="00E976CD"/>
    <w:rsid w:val="00EC0889"/>
    <w:rsid w:val="00ED20B3"/>
    <w:rsid w:val="00ED2C5C"/>
    <w:rsid w:val="00EF1044"/>
    <w:rsid w:val="00EF3015"/>
    <w:rsid w:val="00F04B2A"/>
    <w:rsid w:val="00F409AE"/>
    <w:rsid w:val="00F61FE0"/>
    <w:rsid w:val="00F6208C"/>
    <w:rsid w:val="00F9151B"/>
    <w:rsid w:val="00FA533E"/>
    <w:rsid w:val="00FB3E86"/>
    <w:rsid w:val="00FC048F"/>
    <w:rsid w:val="00FC1B08"/>
    <w:rsid w:val="00FF2600"/>
    <w:rsid w:val="00FF4BE3"/>
    <w:rsid w:val="00FF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FCF8"/>
  <w15:chartTrackingRefBased/>
  <w15:docId w15:val="{EA30CFD4-BF83-4288-8ECD-0E80FCF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sp">
    <w:name w:val="tt_sp"/>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t">
    <w:name w:val="tt"/>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mit">
    <w:name w:val="emit"/>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n">
    <w:name w:val="cn"/>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t">
    <w:name w:val="nt"/>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f">
    <w:name w:val="lf"/>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aliases w:val="Normal (Web) Char Char,Normal (Web) Char Char Char,Normal (Web) Char Char Char Char,Normal (Web) Char,Normal (Web) Char Char Char Char Char Char,Normal (Web) Char Char Char Char Char,Знак"/>
    <w:basedOn w:val="Normal"/>
    <w:link w:val="NormalWebChar1"/>
    <w:uiPriority w:val="99"/>
    <w:unhideWhenUsed/>
    <w:qFormat/>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g">
    <w:name w:val="rg"/>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p">
    <w:name w:val="cp"/>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d">
    <w:name w:val="md"/>
    <w:basedOn w:val="Normal"/>
    <w:rsid w:val="00AC6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77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FE"/>
    <w:rPr>
      <w:rFonts w:ascii="Segoe UI" w:hAnsi="Segoe UI" w:cs="Segoe UI"/>
      <w:sz w:val="18"/>
      <w:szCs w:val="18"/>
      <w:lang w:val="ro-RO"/>
    </w:rPr>
  </w:style>
  <w:style w:type="paragraph" w:customStyle="1" w:styleId="Default">
    <w:name w:val="Default"/>
    <w:rsid w:val="00477FF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477FFE"/>
    <w:rPr>
      <w:color w:val="0000FF"/>
      <w:u w:val="single"/>
    </w:rPr>
  </w:style>
  <w:style w:type="character" w:styleId="CommentReference">
    <w:name w:val="annotation reference"/>
    <w:basedOn w:val="DefaultParagraphFont"/>
    <w:uiPriority w:val="99"/>
    <w:semiHidden/>
    <w:unhideWhenUsed/>
    <w:rsid w:val="00B62FF6"/>
    <w:rPr>
      <w:sz w:val="16"/>
      <w:szCs w:val="16"/>
    </w:rPr>
  </w:style>
  <w:style w:type="paragraph" w:styleId="CommentText">
    <w:name w:val="annotation text"/>
    <w:basedOn w:val="Normal"/>
    <w:link w:val="CommentTextChar"/>
    <w:uiPriority w:val="99"/>
    <w:semiHidden/>
    <w:unhideWhenUsed/>
    <w:rsid w:val="00B62FF6"/>
    <w:pPr>
      <w:spacing w:line="240" w:lineRule="auto"/>
    </w:pPr>
    <w:rPr>
      <w:sz w:val="20"/>
      <w:szCs w:val="20"/>
    </w:rPr>
  </w:style>
  <w:style w:type="character" w:customStyle="1" w:styleId="CommentTextChar">
    <w:name w:val="Comment Text Char"/>
    <w:basedOn w:val="DefaultParagraphFont"/>
    <w:link w:val="CommentText"/>
    <w:uiPriority w:val="99"/>
    <w:semiHidden/>
    <w:rsid w:val="00B62FF6"/>
    <w:rPr>
      <w:sz w:val="20"/>
      <w:szCs w:val="20"/>
      <w:lang w:val="ro-RO"/>
    </w:rPr>
  </w:style>
  <w:style w:type="paragraph" w:styleId="CommentSubject">
    <w:name w:val="annotation subject"/>
    <w:basedOn w:val="CommentText"/>
    <w:next w:val="CommentText"/>
    <w:link w:val="CommentSubjectChar"/>
    <w:uiPriority w:val="99"/>
    <w:semiHidden/>
    <w:unhideWhenUsed/>
    <w:rsid w:val="00B62FF6"/>
    <w:rPr>
      <w:b/>
      <w:bCs/>
    </w:rPr>
  </w:style>
  <w:style w:type="character" w:customStyle="1" w:styleId="CommentSubjectChar">
    <w:name w:val="Comment Subject Char"/>
    <w:basedOn w:val="CommentTextChar"/>
    <w:link w:val="CommentSubject"/>
    <w:uiPriority w:val="99"/>
    <w:semiHidden/>
    <w:rsid w:val="00B62FF6"/>
    <w:rPr>
      <w:b/>
      <w:bCs/>
      <w:sz w:val="20"/>
      <w:szCs w:val="20"/>
      <w:lang w:val="ro-RO"/>
    </w:rPr>
  </w:style>
  <w:style w:type="table" w:styleId="TableGrid">
    <w:name w:val="Table Grid"/>
    <w:basedOn w:val="TableNormal"/>
    <w:uiPriority w:val="59"/>
    <w:rsid w:val="00CA309E"/>
    <w:pPr>
      <w:spacing w:after="0" w:line="240" w:lineRule="auto"/>
    </w:pPr>
    <w:rPr>
      <w:rFonts w:ascii="Times New Roman" w:eastAsia="Times New Roman" w:hAnsi="Times New Roman" w:cs="Times New Roman"/>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09E"/>
    <w:pPr>
      <w:ind w:left="720"/>
      <w:contextualSpacing/>
    </w:pPr>
  </w:style>
  <w:style w:type="character" w:customStyle="1" w:styleId="NormalWebChar1">
    <w:name w:val="Normal (Web) Char1"/>
    <w:aliases w:val="Normal (Web) Char Char Char1,Normal (Web) Char Char Char Char1,Normal (Web) Char Char Char Char Char1,Normal (Web) Char Char1,Normal (Web) Char Char Char Char Char Char Char,Normal (Web) Char Char Char Char Char Char1,Знак Char"/>
    <w:link w:val="NormalWeb"/>
    <w:uiPriority w:val="99"/>
    <w:locked/>
    <w:rsid w:val="00CB51BA"/>
    <w:rPr>
      <w:rFonts w:ascii="Times New Roman" w:eastAsia="Times New Roman" w:hAnsi="Times New Roman" w:cs="Times New Roman"/>
      <w:sz w:val="24"/>
      <w:szCs w:val="24"/>
    </w:rPr>
  </w:style>
  <w:style w:type="paragraph" w:styleId="Revision">
    <w:name w:val="Revision"/>
    <w:hidden/>
    <w:uiPriority w:val="99"/>
    <w:semiHidden/>
    <w:rsid w:val="00BC7E41"/>
    <w:pPr>
      <w:spacing w:after="0" w:line="240" w:lineRule="auto"/>
    </w:pPr>
    <w:rPr>
      <w:lang w:val="ro-RO"/>
    </w:rPr>
  </w:style>
  <w:style w:type="paragraph" w:styleId="FootnoteText">
    <w:name w:val="footnote text"/>
    <w:basedOn w:val="Normal"/>
    <w:link w:val="FootnoteTextChar"/>
    <w:uiPriority w:val="99"/>
    <w:semiHidden/>
    <w:unhideWhenUsed/>
    <w:rsid w:val="00E26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F57"/>
    <w:rPr>
      <w:sz w:val="20"/>
      <w:szCs w:val="20"/>
      <w:lang w:val="ro-RO"/>
    </w:rPr>
  </w:style>
  <w:style w:type="character" w:styleId="FootnoteReference">
    <w:name w:val="footnote reference"/>
    <w:basedOn w:val="DefaultParagraphFont"/>
    <w:uiPriority w:val="99"/>
    <w:semiHidden/>
    <w:unhideWhenUsed/>
    <w:rsid w:val="00E26F57"/>
    <w:rPr>
      <w:vertAlign w:val="superscript"/>
    </w:rPr>
  </w:style>
  <w:style w:type="character" w:customStyle="1" w:styleId="FontStyle15">
    <w:name w:val="Font Style15"/>
    <w:uiPriority w:val="99"/>
    <w:rsid w:val="00AD78CD"/>
    <w:rPr>
      <w:rFonts w:ascii="Times New Roman" w:hAnsi="Times New Roman" w:cs="Times New Roman"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5936">
      <w:bodyDiv w:val="1"/>
      <w:marLeft w:val="0"/>
      <w:marRight w:val="0"/>
      <w:marTop w:val="0"/>
      <w:marBottom w:val="0"/>
      <w:divBdr>
        <w:top w:val="none" w:sz="0" w:space="0" w:color="auto"/>
        <w:left w:val="none" w:sz="0" w:space="0" w:color="auto"/>
        <w:bottom w:val="none" w:sz="0" w:space="0" w:color="auto"/>
        <w:right w:val="none" w:sz="0" w:space="0" w:color="auto"/>
      </w:divBdr>
    </w:div>
    <w:div w:id="468280109">
      <w:bodyDiv w:val="1"/>
      <w:marLeft w:val="0"/>
      <w:marRight w:val="0"/>
      <w:marTop w:val="0"/>
      <w:marBottom w:val="0"/>
      <w:divBdr>
        <w:top w:val="none" w:sz="0" w:space="0" w:color="auto"/>
        <w:left w:val="none" w:sz="0" w:space="0" w:color="auto"/>
        <w:bottom w:val="none" w:sz="0" w:space="0" w:color="auto"/>
        <w:right w:val="none" w:sz="0" w:space="0" w:color="auto"/>
      </w:divBdr>
      <w:divsChild>
        <w:div w:id="1598051528">
          <w:marLeft w:val="0"/>
          <w:marRight w:val="0"/>
          <w:marTop w:val="0"/>
          <w:marBottom w:val="0"/>
          <w:divBdr>
            <w:top w:val="none" w:sz="0" w:space="0" w:color="auto"/>
            <w:left w:val="none" w:sz="0" w:space="0" w:color="auto"/>
            <w:bottom w:val="none" w:sz="0" w:space="0" w:color="auto"/>
            <w:right w:val="none" w:sz="0" w:space="0" w:color="auto"/>
          </w:divBdr>
        </w:div>
      </w:divsChild>
    </w:div>
    <w:div w:id="630332768">
      <w:bodyDiv w:val="1"/>
      <w:marLeft w:val="0"/>
      <w:marRight w:val="0"/>
      <w:marTop w:val="0"/>
      <w:marBottom w:val="0"/>
      <w:divBdr>
        <w:top w:val="none" w:sz="0" w:space="0" w:color="auto"/>
        <w:left w:val="none" w:sz="0" w:space="0" w:color="auto"/>
        <w:bottom w:val="none" w:sz="0" w:space="0" w:color="auto"/>
        <w:right w:val="none" w:sz="0" w:space="0" w:color="auto"/>
      </w:divBdr>
    </w:div>
    <w:div w:id="923758459">
      <w:bodyDiv w:val="1"/>
      <w:marLeft w:val="0"/>
      <w:marRight w:val="0"/>
      <w:marTop w:val="0"/>
      <w:marBottom w:val="0"/>
      <w:divBdr>
        <w:top w:val="none" w:sz="0" w:space="0" w:color="auto"/>
        <w:left w:val="none" w:sz="0" w:space="0" w:color="auto"/>
        <w:bottom w:val="none" w:sz="0" w:space="0" w:color="auto"/>
        <w:right w:val="none" w:sz="0" w:space="0" w:color="auto"/>
      </w:divBdr>
      <w:divsChild>
        <w:div w:id="1983345223">
          <w:marLeft w:val="0"/>
          <w:marRight w:val="0"/>
          <w:marTop w:val="0"/>
          <w:marBottom w:val="0"/>
          <w:divBdr>
            <w:top w:val="none" w:sz="0" w:space="0" w:color="auto"/>
            <w:left w:val="none" w:sz="0" w:space="0" w:color="auto"/>
            <w:bottom w:val="none" w:sz="0" w:space="0" w:color="auto"/>
            <w:right w:val="none" w:sz="0" w:space="0" w:color="auto"/>
          </w:divBdr>
        </w:div>
      </w:divsChild>
    </w:div>
    <w:div w:id="1702894607">
      <w:bodyDiv w:val="1"/>
      <w:marLeft w:val="0"/>
      <w:marRight w:val="0"/>
      <w:marTop w:val="0"/>
      <w:marBottom w:val="0"/>
      <w:divBdr>
        <w:top w:val="none" w:sz="0" w:space="0" w:color="auto"/>
        <w:left w:val="none" w:sz="0" w:space="0" w:color="auto"/>
        <w:bottom w:val="none" w:sz="0" w:space="0" w:color="auto"/>
        <w:right w:val="none" w:sz="0" w:space="0" w:color="auto"/>
      </w:divBdr>
      <w:divsChild>
        <w:div w:id="168906700">
          <w:marLeft w:val="0"/>
          <w:marRight w:val="0"/>
          <w:marTop w:val="0"/>
          <w:marBottom w:val="0"/>
          <w:divBdr>
            <w:top w:val="none" w:sz="0" w:space="0" w:color="auto"/>
            <w:left w:val="none" w:sz="0" w:space="0" w:color="auto"/>
            <w:bottom w:val="none" w:sz="0" w:space="0" w:color="auto"/>
            <w:right w:val="none" w:sz="0" w:space="0" w:color="auto"/>
          </w:divBdr>
        </w:div>
      </w:divsChild>
    </w:div>
    <w:div w:id="1914967306">
      <w:bodyDiv w:val="1"/>
      <w:marLeft w:val="0"/>
      <w:marRight w:val="0"/>
      <w:marTop w:val="0"/>
      <w:marBottom w:val="0"/>
      <w:divBdr>
        <w:top w:val="none" w:sz="0" w:space="0" w:color="auto"/>
        <w:left w:val="none" w:sz="0" w:space="0" w:color="auto"/>
        <w:bottom w:val="none" w:sz="0" w:space="0" w:color="auto"/>
        <w:right w:val="none" w:sz="0" w:space="0" w:color="auto"/>
      </w:divBdr>
      <w:divsChild>
        <w:div w:id="528176897">
          <w:marLeft w:val="0"/>
          <w:marRight w:val="0"/>
          <w:marTop w:val="0"/>
          <w:marBottom w:val="0"/>
          <w:divBdr>
            <w:top w:val="none" w:sz="0" w:space="0" w:color="auto"/>
            <w:left w:val="none" w:sz="0" w:space="0" w:color="auto"/>
            <w:bottom w:val="none" w:sz="0" w:space="0" w:color="auto"/>
            <w:right w:val="none" w:sz="0" w:space="0" w:color="auto"/>
          </w:divBdr>
        </w:div>
      </w:divsChild>
    </w:div>
    <w:div w:id="1954432595">
      <w:bodyDiv w:val="1"/>
      <w:marLeft w:val="0"/>
      <w:marRight w:val="0"/>
      <w:marTop w:val="0"/>
      <w:marBottom w:val="0"/>
      <w:divBdr>
        <w:top w:val="none" w:sz="0" w:space="0" w:color="auto"/>
        <w:left w:val="none" w:sz="0" w:space="0" w:color="auto"/>
        <w:bottom w:val="none" w:sz="0" w:space="0" w:color="auto"/>
        <w:right w:val="none" w:sz="0" w:space="0" w:color="auto"/>
      </w:divBdr>
    </w:div>
    <w:div w:id="203102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B05B-0A47-4ACB-965E-CC72A6E5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1575</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Burlea</dc:creator>
  <cp:keywords/>
  <dc:description/>
  <cp:lastModifiedBy>Ina Muntean</cp:lastModifiedBy>
  <cp:revision>7</cp:revision>
  <cp:lastPrinted>2025-05-15T08:56:00Z</cp:lastPrinted>
  <dcterms:created xsi:type="dcterms:W3CDTF">2025-05-15T06:44:00Z</dcterms:created>
  <dcterms:modified xsi:type="dcterms:W3CDTF">2025-05-16T06:32:00Z</dcterms:modified>
</cp:coreProperties>
</file>